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EBA0E0E" w14:textId="647DA121" w:rsidR="00ED402D" w:rsidRPr="00880705" w:rsidRDefault="00ED402D" w:rsidP="00ED402D">
      <w:pPr>
        <w:pStyle w:val="3GPPHeader"/>
        <w:spacing w:after="60"/>
        <w:rPr>
          <w:sz w:val="32"/>
          <w:szCs w:val="32"/>
          <w:highlight w:val="yellow"/>
          <w:lang w:val="en-US"/>
        </w:rPr>
      </w:pPr>
      <w:bookmarkStart w:id="0" w:name="_Hlk524960236"/>
      <w:bookmarkStart w:id="1" w:name="_GoBack"/>
      <w:bookmarkEnd w:id="1"/>
      <w:r w:rsidRPr="005E0680">
        <w:rPr>
          <w:lang w:val="en-US"/>
        </w:rPr>
        <w:t xml:space="preserve">3GPP TSG-RAN WG1 Meeting </w:t>
      </w:r>
      <w:r w:rsidR="00447772" w:rsidRPr="00A01D12">
        <w:rPr>
          <w:lang w:val="en-US"/>
        </w:rPr>
        <w:t>#9</w:t>
      </w:r>
      <w:r w:rsidR="00880705">
        <w:rPr>
          <w:lang w:val="en-US"/>
        </w:rPr>
        <w:t>8</w:t>
      </w:r>
      <w:r w:rsidRPr="005E0680">
        <w:rPr>
          <w:lang w:val="en-US"/>
        </w:rPr>
        <w:tab/>
      </w:r>
      <w:r w:rsidRPr="005E0680">
        <w:rPr>
          <w:sz w:val="32"/>
          <w:szCs w:val="32"/>
          <w:lang w:val="en-US"/>
        </w:rPr>
        <w:t xml:space="preserve"> </w:t>
      </w:r>
      <w:r w:rsidR="000E487C" w:rsidRPr="00AA50E5">
        <w:rPr>
          <w:sz w:val="32"/>
          <w:szCs w:val="32"/>
          <w:lang w:val="en-US"/>
        </w:rPr>
        <w:t>R1-1909296</w:t>
      </w:r>
    </w:p>
    <w:p w14:paraId="32B9E8DB" w14:textId="17890AA7" w:rsidR="00ED402D" w:rsidRPr="005E0680" w:rsidRDefault="00880705" w:rsidP="003544B2">
      <w:pPr>
        <w:pStyle w:val="3GPPHeader"/>
        <w:spacing w:after="0"/>
        <w:rPr>
          <w:lang w:val="en-US"/>
        </w:rPr>
      </w:pPr>
      <w:r w:rsidRPr="00880705">
        <w:rPr>
          <w:lang w:val="en-US"/>
        </w:rPr>
        <w:t>Prague</w:t>
      </w:r>
      <w:r w:rsidR="004E6797" w:rsidRPr="00A3188A">
        <w:rPr>
          <w:lang w:val="en-US"/>
        </w:rPr>
        <w:t xml:space="preserve">, </w:t>
      </w:r>
      <w:r w:rsidRPr="00880705">
        <w:rPr>
          <w:lang w:val="en-US"/>
        </w:rPr>
        <w:t>Czech Republic</w:t>
      </w:r>
      <w:r w:rsidR="004E6797" w:rsidRPr="00A3188A">
        <w:rPr>
          <w:lang w:val="en-US"/>
        </w:rPr>
        <w:t xml:space="preserve">, </w:t>
      </w:r>
      <w:r>
        <w:rPr>
          <w:lang w:val="en-US"/>
        </w:rPr>
        <w:t>26</w:t>
      </w:r>
      <w:r w:rsidR="004E6797" w:rsidRPr="00A3188A">
        <w:rPr>
          <w:vertAlign w:val="superscript"/>
          <w:lang w:val="en-US"/>
        </w:rPr>
        <w:t>th</w:t>
      </w:r>
      <w:r w:rsidR="004E6797" w:rsidRPr="00A3188A">
        <w:rPr>
          <w:lang w:val="en-US"/>
        </w:rPr>
        <w:t xml:space="preserve"> – </w:t>
      </w:r>
      <w:r>
        <w:rPr>
          <w:lang w:val="en-US"/>
        </w:rPr>
        <w:t>30</w:t>
      </w:r>
      <w:r w:rsidR="004E6797" w:rsidRPr="00A3188A">
        <w:rPr>
          <w:vertAlign w:val="superscript"/>
          <w:lang w:val="en-US"/>
        </w:rPr>
        <w:t>th</w:t>
      </w:r>
      <w:r w:rsidR="004E6797" w:rsidRPr="00A3188A">
        <w:rPr>
          <w:lang w:val="en-US"/>
        </w:rPr>
        <w:t xml:space="preserve"> </w:t>
      </w:r>
      <w:r w:rsidR="004223ED">
        <w:rPr>
          <w:lang w:val="en-US"/>
        </w:rPr>
        <w:t>A</w:t>
      </w:r>
      <w:r w:rsidR="00DF235D">
        <w:rPr>
          <w:lang w:val="en-US"/>
        </w:rPr>
        <w:t>ugust</w:t>
      </w:r>
      <w:r w:rsidR="004223ED" w:rsidRPr="00A3188A">
        <w:rPr>
          <w:lang w:val="en-US"/>
        </w:rPr>
        <w:t xml:space="preserve"> </w:t>
      </w:r>
      <w:r w:rsidR="00ED402D" w:rsidRPr="00A3188A">
        <w:rPr>
          <w:lang w:val="en-US"/>
        </w:rPr>
        <w:t>2019</w:t>
      </w:r>
    </w:p>
    <w:bookmarkEnd w:id="0"/>
    <w:p w14:paraId="60A5317D" w14:textId="77777777" w:rsidR="00E90E49" w:rsidRPr="005E0680" w:rsidRDefault="00E90E49" w:rsidP="00357380">
      <w:pPr>
        <w:pStyle w:val="3GPPHeader"/>
        <w:rPr>
          <w:lang w:val="en-US"/>
        </w:rPr>
      </w:pPr>
    </w:p>
    <w:p w14:paraId="3C6869D1" w14:textId="2468EA89" w:rsidR="00E90E49" w:rsidRPr="005E0680" w:rsidRDefault="00E90E49" w:rsidP="00311702">
      <w:pPr>
        <w:pStyle w:val="3GPPHeader"/>
        <w:rPr>
          <w:sz w:val="22"/>
          <w:szCs w:val="22"/>
          <w:lang w:val="en-US"/>
        </w:rPr>
      </w:pPr>
      <w:r w:rsidRPr="005E0680">
        <w:rPr>
          <w:sz w:val="22"/>
          <w:szCs w:val="22"/>
          <w:lang w:val="en-US"/>
        </w:rPr>
        <w:t>Agenda Item:</w:t>
      </w:r>
      <w:r w:rsidRPr="005E0680">
        <w:rPr>
          <w:sz w:val="22"/>
          <w:szCs w:val="22"/>
          <w:lang w:val="en-US"/>
        </w:rPr>
        <w:tab/>
      </w:r>
      <w:r w:rsidR="00B45C47" w:rsidRPr="00AA50E5">
        <w:rPr>
          <w:sz w:val="22"/>
          <w:szCs w:val="22"/>
          <w:lang w:val="en-US"/>
        </w:rPr>
        <w:t>7.2.2.</w:t>
      </w:r>
      <w:r w:rsidR="0056585E" w:rsidRPr="00AA50E5">
        <w:rPr>
          <w:sz w:val="22"/>
          <w:szCs w:val="22"/>
          <w:lang w:val="en-US"/>
        </w:rPr>
        <w:t>1.2</w:t>
      </w:r>
      <w:r w:rsidR="00B45C47" w:rsidRPr="005E0680" w:rsidDel="00B45C47">
        <w:rPr>
          <w:sz w:val="22"/>
          <w:szCs w:val="22"/>
          <w:lang w:val="en-US"/>
        </w:rPr>
        <w:t xml:space="preserve"> </w:t>
      </w:r>
    </w:p>
    <w:p w14:paraId="0CB055DD" w14:textId="77777777" w:rsidR="00E90E49" w:rsidRPr="005E0680" w:rsidRDefault="003D3C45" w:rsidP="00F64C2B">
      <w:pPr>
        <w:pStyle w:val="3GPPHeader"/>
        <w:rPr>
          <w:sz w:val="22"/>
          <w:szCs w:val="22"/>
          <w:lang w:val="en-US"/>
        </w:rPr>
      </w:pPr>
      <w:r w:rsidRPr="005E0680">
        <w:rPr>
          <w:sz w:val="22"/>
          <w:szCs w:val="22"/>
          <w:lang w:val="en-US"/>
        </w:rPr>
        <w:t>Source:</w:t>
      </w:r>
      <w:r w:rsidR="00E90E49" w:rsidRPr="005E0680">
        <w:rPr>
          <w:sz w:val="22"/>
          <w:szCs w:val="22"/>
          <w:lang w:val="en-US"/>
        </w:rPr>
        <w:tab/>
      </w:r>
      <w:r w:rsidR="00F64C2B" w:rsidRPr="005E0680">
        <w:rPr>
          <w:sz w:val="22"/>
          <w:szCs w:val="22"/>
          <w:lang w:val="en-US"/>
        </w:rPr>
        <w:t>Ericsson</w:t>
      </w:r>
    </w:p>
    <w:p w14:paraId="63DAB814" w14:textId="6ADBC40A" w:rsidR="00E90E49" w:rsidRPr="005E0680" w:rsidRDefault="003D3C45" w:rsidP="00311702">
      <w:pPr>
        <w:pStyle w:val="3GPPHeader"/>
        <w:rPr>
          <w:sz w:val="22"/>
          <w:szCs w:val="22"/>
          <w:lang w:val="en-US"/>
        </w:rPr>
      </w:pPr>
      <w:r w:rsidRPr="005E0680">
        <w:rPr>
          <w:sz w:val="22"/>
          <w:szCs w:val="22"/>
          <w:lang w:val="en-US"/>
        </w:rPr>
        <w:t>Title:</w:t>
      </w:r>
      <w:r w:rsidR="00E90E49" w:rsidRPr="005E0680">
        <w:rPr>
          <w:sz w:val="22"/>
          <w:szCs w:val="22"/>
          <w:lang w:val="en-US"/>
        </w:rPr>
        <w:tab/>
      </w:r>
      <w:r w:rsidR="0056585E" w:rsidRPr="00AA50E5">
        <w:rPr>
          <w:sz w:val="22"/>
          <w:szCs w:val="22"/>
          <w:lang w:val="en-US"/>
        </w:rPr>
        <w:t>DL signals and channels for NR-U</w:t>
      </w:r>
    </w:p>
    <w:p w14:paraId="58D4CB54" w14:textId="77777777" w:rsidR="00E90E49" w:rsidRPr="005E0680" w:rsidRDefault="00E90E49" w:rsidP="00D546FF">
      <w:pPr>
        <w:pStyle w:val="3GPPHeader"/>
        <w:rPr>
          <w:sz w:val="22"/>
          <w:szCs w:val="22"/>
          <w:lang w:val="en-US"/>
        </w:rPr>
      </w:pPr>
      <w:r w:rsidRPr="005E0680">
        <w:rPr>
          <w:sz w:val="22"/>
          <w:szCs w:val="22"/>
          <w:lang w:val="en-US"/>
        </w:rPr>
        <w:t>Document for:</w:t>
      </w:r>
      <w:r w:rsidRPr="005E0680">
        <w:rPr>
          <w:sz w:val="22"/>
          <w:szCs w:val="22"/>
          <w:lang w:val="en-US"/>
        </w:rPr>
        <w:tab/>
        <w:t>Discussion, Decision</w:t>
      </w:r>
    </w:p>
    <w:p w14:paraId="76893D37" w14:textId="77777777" w:rsidR="00E90E49" w:rsidRPr="005E0680" w:rsidRDefault="00E90E49" w:rsidP="00E90E49">
      <w:pPr>
        <w:rPr>
          <w:lang w:val="en-US"/>
        </w:rPr>
      </w:pPr>
    </w:p>
    <w:p w14:paraId="370ED96D" w14:textId="136B3B97" w:rsidR="00EC34AC" w:rsidRPr="005E0680" w:rsidRDefault="00EC34AC" w:rsidP="002951EE">
      <w:pPr>
        <w:pStyle w:val="Heading1"/>
        <w:numPr>
          <w:ilvl w:val="0"/>
          <w:numId w:val="17"/>
        </w:numPr>
        <w:rPr>
          <w:lang w:val="en-US"/>
        </w:rPr>
      </w:pPr>
      <w:bookmarkStart w:id="2" w:name="_Ref178064866"/>
      <w:r w:rsidRPr="005E0680">
        <w:rPr>
          <w:lang w:val="en-US"/>
        </w:rPr>
        <w:t>Introduction</w:t>
      </w:r>
    </w:p>
    <w:p w14:paraId="5EF6ECCE" w14:textId="2B41D097" w:rsidR="00BA529F" w:rsidRPr="005E0680" w:rsidRDefault="00E072E1" w:rsidP="00EA510F">
      <w:pPr>
        <w:pStyle w:val="BodyText"/>
        <w:rPr>
          <w:lang w:val="en-US"/>
        </w:rPr>
      </w:pPr>
      <w:r w:rsidRPr="004B6D86">
        <w:rPr>
          <w:lang w:val="en-US"/>
        </w:rPr>
        <w:t>In this paper we discuss various aspects of PDSCH and PDCCH design.</w:t>
      </w:r>
      <w:r w:rsidR="00D04AE2" w:rsidRPr="004B6D86">
        <w:rPr>
          <w:lang w:val="en-US"/>
        </w:rPr>
        <w:t xml:space="preserve"> </w:t>
      </w:r>
      <w:r w:rsidR="009E1210" w:rsidRPr="004B6D86">
        <w:rPr>
          <w:lang w:val="en-US"/>
        </w:rPr>
        <w:t xml:space="preserve">The discussions are based on the prioritization proposed by the </w:t>
      </w:r>
      <w:r w:rsidR="004B6D86" w:rsidRPr="004B6D86">
        <w:rPr>
          <w:lang w:val="en-US"/>
        </w:rPr>
        <w:t>guidance</w:t>
      </w:r>
      <w:r w:rsidR="00245D47" w:rsidRPr="004B6D86">
        <w:rPr>
          <w:lang w:val="en-US"/>
        </w:rPr>
        <w:t xml:space="preserve"> </w:t>
      </w:r>
      <w:r w:rsidR="004B6D86" w:rsidRPr="004B6D86">
        <w:rPr>
          <w:lang w:val="en-US"/>
        </w:rPr>
        <w:t>on essential functionality for NR</w:t>
      </w:r>
      <w:r w:rsidR="00BE7470">
        <w:rPr>
          <w:lang w:val="en-US"/>
        </w:rPr>
        <w:t>-</w:t>
      </w:r>
      <w:r w:rsidR="004B6D86" w:rsidRPr="004B6D86">
        <w:rPr>
          <w:lang w:val="en-US"/>
        </w:rPr>
        <w:t>U</w:t>
      </w:r>
      <w:r w:rsidR="00CA5975">
        <w:rPr>
          <w:lang w:val="en-US"/>
        </w:rPr>
        <w:t xml:space="preserve"> </w:t>
      </w:r>
      <w:r w:rsidR="00CA5975">
        <w:rPr>
          <w:lang w:val="en-US"/>
        </w:rPr>
        <w:fldChar w:fldCharType="begin"/>
      </w:r>
      <w:r w:rsidR="00CA5975">
        <w:rPr>
          <w:lang w:val="en-US"/>
        </w:rPr>
        <w:instrText xml:space="preserve"> REF _Ref16856371 \w \h </w:instrText>
      </w:r>
      <w:r w:rsidR="00CA5975">
        <w:rPr>
          <w:lang w:val="en-US"/>
        </w:rPr>
      </w:r>
      <w:r w:rsidR="00CA5975">
        <w:rPr>
          <w:lang w:val="en-US"/>
        </w:rPr>
        <w:fldChar w:fldCharType="separate"/>
      </w:r>
      <w:r w:rsidR="00431AC5">
        <w:rPr>
          <w:lang w:val="en-US"/>
        </w:rPr>
        <w:t>[17]</w:t>
      </w:r>
      <w:r w:rsidR="00CA5975">
        <w:rPr>
          <w:lang w:val="en-US"/>
        </w:rPr>
        <w:fldChar w:fldCharType="end"/>
      </w:r>
      <w:r w:rsidR="00C00A66" w:rsidRPr="004B6D86">
        <w:rPr>
          <w:lang w:val="en-US"/>
        </w:rPr>
        <w:t>.</w:t>
      </w:r>
    </w:p>
    <w:bookmarkEnd w:id="2"/>
    <w:p w14:paraId="6DCE39C6" w14:textId="46E19DD2" w:rsidR="00C747A9" w:rsidRPr="005E0680" w:rsidRDefault="00312ACD" w:rsidP="002951EE">
      <w:pPr>
        <w:pStyle w:val="Heading1"/>
        <w:numPr>
          <w:ilvl w:val="0"/>
          <w:numId w:val="17"/>
        </w:numPr>
        <w:rPr>
          <w:lang w:val="en-US"/>
        </w:rPr>
      </w:pPr>
      <w:r>
        <w:rPr>
          <w:lang w:val="en-US"/>
        </w:rPr>
        <w:t>DMRS design for PDSCH type B transmission</w:t>
      </w:r>
    </w:p>
    <w:p w14:paraId="273298C5" w14:textId="77777777" w:rsidR="00241AAD" w:rsidRPr="00241AAD" w:rsidRDefault="00241AAD" w:rsidP="00241AAD">
      <w:pPr>
        <w:overflowPunct/>
        <w:autoSpaceDE/>
        <w:autoSpaceDN/>
        <w:adjustRightInd/>
        <w:spacing w:after="0"/>
        <w:textAlignment w:val="auto"/>
        <w:rPr>
          <w:sz w:val="22"/>
          <w:szCs w:val="22"/>
          <w:lang w:val="en-US" w:eastAsia="zh-CN"/>
        </w:rPr>
      </w:pPr>
      <w:bookmarkStart w:id="3" w:name="_Hlk534210292"/>
      <w:bookmarkStart w:id="4" w:name="_Hlk7641921"/>
      <w:r w:rsidRPr="00241AAD">
        <w:rPr>
          <w:sz w:val="22"/>
          <w:szCs w:val="22"/>
          <w:lang w:val="en-US" w:eastAsia="zh-CN"/>
        </w:rPr>
        <w:t>In the previous meeting, the following was agreed:</w:t>
      </w:r>
    </w:p>
    <w:p w14:paraId="5B1B802D" w14:textId="77777777" w:rsidR="00241AAD" w:rsidRPr="00241AAD" w:rsidRDefault="00241AAD" w:rsidP="00241AAD">
      <w:pPr>
        <w:overflowPunct/>
        <w:autoSpaceDE/>
        <w:autoSpaceDN/>
        <w:adjustRightInd/>
        <w:spacing w:after="0"/>
        <w:textAlignment w:val="auto"/>
        <w:rPr>
          <w:sz w:val="22"/>
          <w:szCs w:val="22"/>
          <w:lang w:val="en-US" w:eastAsia="zh-CN"/>
        </w:rPr>
      </w:pPr>
    </w:p>
    <w:p w14:paraId="49112A8B" w14:textId="77777777" w:rsidR="00241AAD" w:rsidRPr="00241AAD" w:rsidRDefault="00241AAD" w:rsidP="00241AAD">
      <w:pPr>
        <w:numPr>
          <w:ilvl w:val="0"/>
          <w:numId w:val="56"/>
        </w:numPr>
        <w:overflowPunct/>
        <w:autoSpaceDE/>
        <w:autoSpaceDN/>
        <w:adjustRightInd/>
        <w:spacing w:after="0"/>
        <w:textAlignment w:val="auto"/>
        <w:rPr>
          <w:i/>
          <w:sz w:val="22"/>
          <w:szCs w:val="22"/>
          <w:lang w:val="en-US" w:eastAsia="en-GB"/>
        </w:rPr>
      </w:pPr>
      <w:r w:rsidRPr="00241AAD">
        <w:rPr>
          <w:i/>
          <w:sz w:val="22"/>
          <w:szCs w:val="22"/>
          <w:lang w:val="en-US" w:eastAsia="en-GB"/>
        </w:rPr>
        <w:t xml:space="preserve">Additional durations from 2 to 13 (other than 2, 4 and 7 which are already supported in Rel-15) for PDSCH mapping type B are supported. </w:t>
      </w:r>
    </w:p>
    <w:p w14:paraId="3299FB6D" w14:textId="77777777" w:rsidR="00241AAD" w:rsidRPr="00241AAD" w:rsidRDefault="00241AAD" w:rsidP="00241AAD">
      <w:pPr>
        <w:numPr>
          <w:ilvl w:val="1"/>
          <w:numId w:val="56"/>
        </w:numPr>
        <w:overflowPunct/>
        <w:autoSpaceDE/>
        <w:autoSpaceDN/>
        <w:adjustRightInd/>
        <w:spacing w:after="0"/>
        <w:textAlignment w:val="auto"/>
        <w:rPr>
          <w:i/>
          <w:sz w:val="22"/>
          <w:szCs w:val="22"/>
          <w:lang w:val="sv-SE" w:eastAsia="en-GB"/>
        </w:rPr>
      </w:pPr>
      <w:r w:rsidRPr="00241AAD">
        <w:rPr>
          <w:i/>
          <w:sz w:val="22"/>
          <w:szCs w:val="22"/>
          <w:lang w:val="sv-SE" w:eastAsia="en-GB"/>
        </w:rPr>
        <w:t>FFS: A duration of 14</w:t>
      </w:r>
    </w:p>
    <w:p w14:paraId="584F51C6" w14:textId="77777777" w:rsidR="00241AAD" w:rsidRPr="00241AAD" w:rsidRDefault="00241AAD" w:rsidP="00241AAD">
      <w:pPr>
        <w:numPr>
          <w:ilvl w:val="1"/>
          <w:numId w:val="56"/>
        </w:numPr>
        <w:overflowPunct/>
        <w:autoSpaceDE/>
        <w:autoSpaceDN/>
        <w:adjustRightInd/>
        <w:spacing w:after="0"/>
        <w:textAlignment w:val="auto"/>
        <w:rPr>
          <w:i/>
          <w:sz w:val="22"/>
          <w:szCs w:val="22"/>
          <w:lang w:val="en-US" w:eastAsia="en-GB"/>
        </w:rPr>
      </w:pPr>
      <w:r w:rsidRPr="00241AAD">
        <w:rPr>
          <w:i/>
          <w:sz w:val="22"/>
          <w:szCs w:val="22"/>
          <w:lang w:val="en-US" w:eastAsia="en-GB"/>
        </w:rPr>
        <w:t>FFS: DMRS aspects for the additional durations (Reuse Rel-15 patterns or define new patterns for these additional durations)</w:t>
      </w:r>
    </w:p>
    <w:p w14:paraId="7600F636" w14:textId="77777777" w:rsidR="00241AAD" w:rsidRPr="00241AAD" w:rsidRDefault="00241AAD" w:rsidP="00241AAD">
      <w:pPr>
        <w:overflowPunct/>
        <w:autoSpaceDE/>
        <w:autoSpaceDN/>
        <w:adjustRightInd/>
        <w:spacing w:after="0"/>
        <w:textAlignment w:val="auto"/>
        <w:rPr>
          <w:sz w:val="22"/>
          <w:szCs w:val="22"/>
          <w:lang w:val="en-US" w:eastAsia="zh-CN"/>
        </w:rPr>
      </w:pPr>
    </w:p>
    <w:p w14:paraId="1DF27B4B" w14:textId="5833F9A7" w:rsidR="00241AAD" w:rsidRPr="00241AAD" w:rsidRDefault="00241AAD" w:rsidP="00241AAD">
      <w:pPr>
        <w:overflowPunct/>
        <w:autoSpaceDE/>
        <w:autoSpaceDN/>
        <w:adjustRightInd/>
        <w:spacing w:after="0"/>
        <w:textAlignment w:val="auto"/>
        <w:rPr>
          <w:sz w:val="22"/>
          <w:szCs w:val="22"/>
          <w:lang w:val="en-US" w:eastAsia="zh-CN"/>
        </w:rPr>
      </w:pPr>
      <w:r w:rsidRPr="00241AAD">
        <w:rPr>
          <w:sz w:val="22"/>
          <w:szCs w:val="22"/>
          <w:lang w:val="en-US" w:eastAsia="zh-CN"/>
        </w:rPr>
        <w:t xml:space="preserve">Moreover, the RAN plenary #84 has decided to introduce an enhancement for dynamic spectrum sharing as follows </w:t>
      </w:r>
      <w:r w:rsidR="00285351">
        <w:rPr>
          <w:sz w:val="22"/>
          <w:szCs w:val="22"/>
          <w:lang w:val="en-US" w:eastAsia="zh-CN"/>
        </w:rPr>
        <w:fldChar w:fldCharType="begin"/>
      </w:r>
      <w:r w:rsidR="00285351">
        <w:rPr>
          <w:sz w:val="22"/>
          <w:szCs w:val="22"/>
          <w:lang w:val="en-US" w:eastAsia="zh-CN"/>
        </w:rPr>
        <w:instrText xml:space="preserve"> REF _Ref16684993 \r \h </w:instrText>
      </w:r>
      <w:r w:rsidR="00285351">
        <w:rPr>
          <w:sz w:val="22"/>
          <w:szCs w:val="22"/>
          <w:lang w:val="en-US" w:eastAsia="zh-CN"/>
        </w:rPr>
      </w:r>
      <w:r w:rsidR="00285351">
        <w:rPr>
          <w:sz w:val="22"/>
          <w:szCs w:val="22"/>
          <w:lang w:val="en-US" w:eastAsia="zh-CN"/>
        </w:rPr>
        <w:fldChar w:fldCharType="separate"/>
      </w:r>
      <w:r w:rsidR="00431AC5">
        <w:rPr>
          <w:sz w:val="22"/>
          <w:szCs w:val="22"/>
          <w:lang w:val="en-US" w:eastAsia="zh-CN"/>
        </w:rPr>
        <w:t>[15]</w:t>
      </w:r>
      <w:r w:rsidR="00285351">
        <w:rPr>
          <w:sz w:val="22"/>
          <w:szCs w:val="22"/>
          <w:lang w:val="en-US" w:eastAsia="zh-CN"/>
        </w:rPr>
        <w:fldChar w:fldCharType="end"/>
      </w:r>
      <w:r w:rsidRPr="00241AAD">
        <w:rPr>
          <w:sz w:val="22"/>
          <w:szCs w:val="22"/>
          <w:lang w:val="en-US" w:eastAsia="zh-CN"/>
        </w:rPr>
        <w:t>:</w:t>
      </w:r>
    </w:p>
    <w:p w14:paraId="7A70A184" w14:textId="77777777" w:rsidR="00241AAD" w:rsidRPr="00241AAD" w:rsidRDefault="00241AAD" w:rsidP="00241AAD">
      <w:pPr>
        <w:overflowPunct/>
        <w:autoSpaceDE/>
        <w:autoSpaceDN/>
        <w:adjustRightInd/>
        <w:spacing w:after="0"/>
        <w:textAlignment w:val="auto"/>
        <w:rPr>
          <w:i/>
          <w:sz w:val="22"/>
          <w:szCs w:val="22"/>
          <w:lang w:val="en-US" w:eastAsia="zh-CN"/>
        </w:rPr>
      </w:pPr>
    </w:p>
    <w:p w14:paraId="4DF14AC6" w14:textId="77777777" w:rsidR="00241AAD" w:rsidRPr="00241AAD" w:rsidRDefault="00241AAD" w:rsidP="00241AAD">
      <w:pPr>
        <w:numPr>
          <w:ilvl w:val="0"/>
          <w:numId w:val="57"/>
        </w:numPr>
        <w:overflowPunct/>
        <w:autoSpaceDE/>
        <w:autoSpaceDN/>
        <w:adjustRightInd/>
        <w:spacing w:after="0"/>
        <w:textAlignment w:val="auto"/>
        <w:rPr>
          <w:i/>
          <w:sz w:val="22"/>
          <w:szCs w:val="22"/>
          <w:lang w:val="en-US" w:eastAsia="zh-CN"/>
        </w:rPr>
      </w:pPr>
      <w:r w:rsidRPr="00241AAD">
        <w:rPr>
          <w:i/>
          <w:sz w:val="22"/>
          <w:szCs w:val="22"/>
          <w:lang w:val="en-US" w:eastAsia="zh-CN"/>
        </w:rPr>
        <w:t>The following enhancements for dynamic spectrum sharing will be done as part of TEI16 in RAN1</w:t>
      </w:r>
    </w:p>
    <w:p w14:paraId="3CCE77A7" w14:textId="77777777" w:rsidR="00241AAD" w:rsidRPr="00241AAD" w:rsidRDefault="00241AAD" w:rsidP="00241AAD">
      <w:pPr>
        <w:numPr>
          <w:ilvl w:val="1"/>
          <w:numId w:val="57"/>
        </w:numPr>
        <w:overflowPunct/>
        <w:autoSpaceDE/>
        <w:autoSpaceDN/>
        <w:adjustRightInd/>
        <w:spacing w:after="0"/>
        <w:textAlignment w:val="auto"/>
        <w:rPr>
          <w:b/>
          <w:i/>
          <w:color w:val="4F81BD"/>
          <w:sz w:val="22"/>
          <w:szCs w:val="22"/>
          <w:lang w:val="en-US" w:eastAsia="zh-CN"/>
        </w:rPr>
      </w:pPr>
      <w:r w:rsidRPr="00241AAD">
        <w:rPr>
          <w:b/>
          <w:i/>
          <w:color w:val="4F81BD"/>
          <w:sz w:val="22"/>
          <w:szCs w:val="22"/>
          <w:lang w:val="en-US" w:eastAsia="zh-CN"/>
        </w:rPr>
        <w:t>Introduce PDSCH Type B mapping of length 9 and 10 OFDM symbols where the positions of DMRS are defined or can be configured so they do not collide with symbols containing LTE CRS</w:t>
      </w:r>
    </w:p>
    <w:p w14:paraId="57D126D2" w14:textId="77777777" w:rsidR="00241AAD" w:rsidRPr="00241AAD" w:rsidRDefault="00241AAD" w:rsidP="00241AAD">
      <w:pPr>
        <w:numPr>
          <w:ilvl w:val="1"/>
          <w:numId w:val="57"/>
        </w:numPr>
        <w:overflowPunct/>
        <w:autoSpaceDE/>
        <w:autoSpaceDN/>
        <w:adjustRightInd/>
        <w:spacing w:after="0"/>
        <w:textAlignment w:val="auto"/>
        <w:rPr>
          <w:i/>
          <w:sz w:val="22"/>
          <w:szCs w:val="22"/>
          <w:lang w:val="en-US" w:eastAsia="zh-CN"/>
        </w:rPr>
      </w:pPr>
      <w:r w:rsidRPr="00241AAD">
        <w:rPr>
          <w:i/>
          <w:sz w:val="22"/>
          <w:szCs w:val="22"/>
          <w:lang w:val="en-US" w:eastAsia="zh-CN"/>
        </w:rPr>
        <w:t>Extend the higher layer configuration of LTE-CRS rate matching pattern to multiple rate matching patterns to support multiple LTE carriers within an NR carrier</w:t>
      </w:r>
    </w:p>
    <w:p w14:paraId="0DCB2860" w14:textId="77777777" w:rsidR="00241AAD" w:rsidRPr="00241AAD" w:rsidRDefault="00241AAD" w:rsidP="00241AAD">
      <w:pPr>
        <w:numPr>
          <w:ilvl w:val="2"/>
          <w:numId w:val="57"/>
        </w:numPr>
        <w:overflowPunct/>
        <w:autoSpaceDE/>
        <w:autoSpaceDN/>
        <w:adjustRightInd/>
        <w:spacing w:after="0"/>
        <w:textAlignment w:val="auto"/>
        <w:rPr>
          <w:i/>
          <w:sz w:val="22"/>
          <w:szCs w:val="22"/>
          <w:lang w:val="en-US" w:eastAsia="zh-CN"/>
        </w:rPr>
      </w:pPr>
      <w:r w:rsidRPr="00241AAD">
        <w:rPr>
          <w:i/>
          <w:sz w:val="22"/>
          <w:szCs w:val="22"/>
          <w:lang w:val="en-US" w:eastAsia="zh-CN"/>
        </w:rPr>
        <w:t>RAN1 will decide on a reasonable limit for the number of rate matching patterns to be supported</w:t>
      </w:r>
    </w:p>
    <w:p w14:paraId="45D8956F" w14:textId="77777777" w:rsidR="00241AAD" w:rsidRPr="00241AAD" w:rsidRDefault="00241AAD" w:rsidP="00241AAD">
      <w:pPr>
        <w:numPr>
          <w:ilvl w:val="2"/>
          <w:numId w:val="57"/>
        </w:numPr>
        <w:overflowPunct/>
        <w:autoSpaceDE/>
        <w:autoSpaceDN/>
        <w:adjustRightInd/>
        <w:spacing w:after="0"/>
        <w:textAlignment w:val="auto"/>
        <w:rPr>
          <w:i/>
          <w:sz w:val="22"/>
          <w:szCs w:val="22"/>
          <w:lang w:val="en-US" w:eastAsia="zh-CN"/>
        </w:rPr>
      </w:pPr>
      <w:r w:rsidRPr="00241AAD">
        <w:rPr>
          <w:i/>
          <w:sz w:val="22"/>
          <w:szCs w:val="22"/>
          <w:lang w:val="en-US" w:eastAsia="zh-CN"/>
        </w:rPr>
        <w:t>The LTE-CRS rate matching patterns are applicable to 15 kHz SCS</w:t>
      </w:r>
    </w:p>
    <w:p w14:paraId="20E9A3C2" w14:textId="77777777" w:rsidR="00241AAD" w:rsidRPr="00241AAD" w:rsidRDefault="00241AAD" w:rsidP="00241AAD">
      <w:pPr>
        <w:numPr>
          <w:ilvl w:val="2"/>
          <w:numId w:val="57"/>
        </w:numPr>
        <w:overflowPunct/>
        <w:autoSpaceDE/>
        <w:autoSpaceDN/>
        <w:adjustRightInd/>
        <w:spacing w:after="0"/>
        <w:textAlignment w:val="auto"/>
        <w:rPr>
          <w:i/>
          <w:sz w:val="22"/>
          <w:szCs w:val="22"/>
          <w:lang w:val="en-US" w:eastAsia="zh-CN"/>
        </w:rPr>
      </w:pPr>
      <w:r w:rsidRPr="00241AAD">
        <w:rPr>
          <w:i/>
          <w:sz w:val="22"/>
          <w:szCs w:val="22"/>
          <w:lang w:val="en-US" w:eastAsia="zh-CN"/>
        </w:rPr>
        <w:t>Signaling to be defined by RAN2</w:t>
      </w:r>
    </w:p>
    <w:p w14:paraId="3E3C1A8D" w14:textId="77777777" w:rsidR="00241AAD" w:rsidRPr="00241AAD" w:rsidRDefault="00241AAD" w:rsidP="00241AAD">
      <w:pPr>
        <w:numPr>
          <w:ilvl w:val="2"/>
          <w:numId w:val="57"/>
        </w:numPr>
        <w:overflowPunct/>
        <w:autoSpaceDE/>
        <w:autoSpaceDN/>
        <w:adjustRightInd/>
        <w:spacing w:after="0"/>
        <w:textAlignment w:val="auto"/>
        <w:rPr>
          <w:i/>
          <w:sz w:val="22"/>
          <w:szCs w:val="22"/>
          <w:lang w:val="en-US" w:eastAsia="zh-CN"/>
        </w:rPr>
      </w:pPr>
      <w:r w:rsidRPr="00241AAD">
        <w:rPr>
          <w:i/>
          <w:sz w:val="22"/>
          <w:szCs w:val="22"/>
          <w:lang w:val="en-US" w:eastAsia="zh-CN"/>
        </w:rPr>
        <w:t>The work will take place and be completed in Q3</w:t>
      </w:r>
    </w:p>
    <w:p w14:paraId="22D35B3B" w14:textId="77777777" w:rsidR="00241AAD" w:rsidRPr="00241AAD" w:rsidRDefault="00241AAD" w:rsidP="00241AAD">
      <w:pPr>
        <w:numPr>
          <w:ilvl w:val="1"/>
          <w:numId w:val="57"/>
        </w:numPr>
        <w:overflowPunct/>
        <w:autoSpaceDE/>
        <w:autoSpaceDN/>
        <w:adjustRightInd/>
        <w:spacing w:after="0"/>
        <w:textAlignment w:val="auto"/>
        <w:rPr>
          <w:i/>
          <w:sz w:val="22"/>
          <w:szCs w:val="22"/>
          <w:lang w:val="en-US" w:eastAsia="zh-CN"/>
        </w:rPr>
      </w:pPr>
      <w:r w:rsidRPr="00241AAD">
        <w:rPr>
          <w:i/>
          <w:sz w:val="22"/>
          <w:szCs w:val="22"/>
          <w:lang w:val="en-US" w:eastAsia="zh-CN"/>
        </w:rPr>
        <w:t>CRs will be prepared once Rel-16 specifications will be available</w:t>
      </w:r>
    </w:p>
    <w:p w14:paraId="215FAF44" w14:textId="77777777" w:rsidR="00241AAD" w:rsidRPr="00241AAD" w:rsidRDefault="00241AAD" w:rsidP="00241AAD">
      <w:pPr>
        <w:overflowPunct/>
        <w:autoSpaceDE/>
        <w:autoSpaceDN/>
        <w:adjustRightInd/>
        <w:spacing w:after="0"/>
        <w:textAlignment w:val="auto"/>
        <w:rPr>
          <w:i/>
          <w:sz w:val="22"/>
          <w:szCs w:val="22"/>
          <w:lang w:val="en-US" w:eastAsia="zh-CN"/>
        </w:rPr>
      </w:pPr>
    </w:p>
    <w:p w14:paraId="60B1F53B" w14:textId="59B091CD" w:rsidR="0052362D" w:rsidRDefault="00241AAD" w:rsidP="0052362D">
      <w:pPr>
        <w:overflowPunct/>
        <w:autoSpaceDE/>
        <w:autoSpaceDN/>
        <w:adjustRightInd/>
        <w:spacing w:after="0"/>
        <w:jc w:val="both"/>
        <w:textAlignment w:val="auto"/>
        <w:rPr>
          <w:sz w:val="22"/>
          <w:szCs w:val="22"/>
          <w:lang w:val="en-US" w:eastAsia="zh-CN"/>
        </w:rPr>
      </w:pPr>
      <w:r w:rsidRPr="00241AAD">
        <w:rPr>
          <w:sz w:val="22"/>
          <w:szCs w:val="22"/>
          <w:lang w:val="en-US" w:eastAsia="zh-CN"/>
        </w:rPr>
        <w:t xml:space="preserve">Per the chairman’s guidance, the DMRS pattern for both NR-U and </w:t>
      </w:r>
      <w:r w:rsidR="0052362D">
        <w:rPr>
          <w:sz w:val="22"/>
          <w:szCs w:val="22"/>
          <w:lang w:val="en-US" w:eastAsia="zh-CN"/>
        </w:rPr>
        <w:t>TEI-1</w:t>
      </w:r>
      <w:r w:rsidR="005359FC">
        <w:rPr>
          <w:sz w:val="22"/>
          <w:szCs w:val="22"/>
          <w:lang w:val="en-US" w:eastAsia="zh-CN"/>
        </w:rPr>
        <w:t>6</w:t>
      </w:r>
      <w:r w:rsidR="0052362D">
        <w:rPr>
          <w:sz w:val="22"/>
          <w:szCs w:val="22"/>
          <w:lang w:val="en-US" w:eastAsia="zh-CN"/>
        </w:rPr>
        <w:t xml:space="preserve"> </w:t>
      </w:r>
      <w:r w:rsidRPr="00241AAD">
        <w:rPr>
          <w:sz w:val="22"/>
          <w:szCs w:val="22"/>
          <w:lang w:val="en-US" w:eastAsia="zh-CN"/>
        </w:rPr>
        <w:t>DSS will be discussed here</w:t>
      </w:r>
      <w:r w:rsidR="0052362D">
        <w:rPr>
          <w:sz w:val="22"/>
          <w:szCs w:val="22"/>
          <w:lang w:val="en-US" w:eastAsia="zh-CN"/>
        </w:rPr>
        <w:t xml:space="preserve"> in the NR-U agenda item</w:t>
      </w:r>
      <w:r w:rsidRPr="00241AAD">
        <w:rPr>
          <w:sz w:val="22"/>
          <w:szCs w:val="22"/>
          <w:lang w:val="en-US" w:eastAsia="zh-CN"/>
        </w:rPr>
        <w:t xml:space="preserve">.  </w:t>
      </w:r>
    </w:p>
    <w:p w14:paraId="45C742D0" w14:textId="77777777" w:rsidR="0052362D" w:rsidRDefault="0052362D" w:rsidP="0052362D">
      <w:pPr>
        <w:overflowPunct/>
        <w:autoSpaceDE/>
        <w:autoSpaceDN/>
        <w:adjustRightInd/>
        <w:spacing w:after="0"/>
        <w:jc w:val="both"/>
        <w:textAlignment w:val="auto"/>
        <w:rPr>
          <w:sz w:val="22"/>
          <w:szCs w:val="22"/>
          <w:lang w:val="en-US" w:eastAsia="zh-CN"/>
        </w:rPr>
      </w:pPr>
    </w:p>
    <w:p w14:paraId="6ED38C75" w14:textId="7022E7E3" w:rsidR="00241AAD" w:rsidRPr="00241AAD" w:rsidRDefault="00241AAD" w:rsidP="00A67F4F">
      <w:pPr>
        <w:overflowPunct/>
        <w:autoSpaceDE/>
        <w:autoSpaceDN/>
        <w:adjustRightInd/>
        <w:spacing w:after="0"/>
        <w:jc w:val="both"/>
        <w:textAlignment w:val="auto"/>
        <w:rPr>
          <w:sz w:val="22"/>
          <w:szCs w:val="22"/>
          <w:lang w:val="en-US" w:eastAsia="zh-CN"/>
        </w:rPr>
      </w:pPr>
      <w:r w:rsidRPr="00241AAD">
        <w:rPr>
          <w:sz w:val="22"/>
          <w:szCs w:val="22"/>
          <w:lang w:val="en-US" w:eastAsia="zh-CN"/>
        </w:rPr>
        <w:t xml:space="preserve">The benefit </w:t>
      </w:r>
      <w:r w:rsidR="00EE4186">
        <w:rPr>
          <w:sz w:val="22"/>
          <w:szCs w:val="22"/>
          <w:lang w:val="en-US" w:eastAsia="zh-CN"/>
        </w:rPr>
        <w:t>and requirements when</w:t>
      </w:r>
      <w:r w:rsidRPr="00241AAD">
        <w:rPr>
          <w:sz w:val="22"/>
          <w:szCs w:val="22"/>
          <w:lang w:val="en-US" w:eastAsia="zh-CN"/>
        </w:rPr>
        <w:t xml:space="preserve"> introducing the enhancement </w:t>
      </w:r>
      <w:r w:rsidR="005A2489">
        <w:rPr>
          <w:sz w:val="22"/>
          <w:szCs w:val="22"/>
          <w:lang w:val="en-US" w:eastAsia="zh-CN"/>
        </w:rPr>
        <w:t xml:space="preserve">of </w:t>
      </w:r>
      <w:r w:rsidRPr="00241AAD">
        <w:rPr>
          <w:sz w:val="22"/>
          <w:szCs w:val="22"/>
          <w:lang w:val="en-US" w:eastAsia="zh-CN"/>
        </w:rPr>
        <w:t xml:space="preserve">PDSCH type B for length 9 and 10 for DSS is first briefly discussed </w:t>
      </w:r>
      <w:r w:rsidR="00AF2813">
        <w:rPr>
          <w:sz w:val="22"/>
          <w:szCs w:val="22"/>
          <w:lang w:val="en-US" w:eastAsia="zh-CN"/>
        </w:rPr>
        <w:t xml:space="preserve">in the following sub-section, </w:t>
      </w:r>
      <w:r w:rsidRPr="00241AAD">
        <w:rPr>
          <w:sz w:val="22"/>
          <w:szCs w:val="22"/>
          <w:lang w:val="en-US" w:eastAsia="zh-CN"/>
        </w:rPr>
        <w:t xml:space="preserve">before the actual DMRS patterns from different scheduling durations </w:t>
      </w:r>
      <w:r w:rsidR="00AF2813">
        <w:rPr>
          <w:sz w:val="22"/>
          <w:szCs w:val="22"/>
          <w:lang w:val="en-US" w:eastAsia="zh-CN"/>
        </w:rPr>
        <w:t xml:space="preserve">applicable for both NR-U and DSS </w:t>
      </w:r>
      <w:r w:rsidRPr="00241AAD">
        <w:rPr>
          <w:sz w:val="22"/>
          <w:szCs w:val="22"/>
          <w:lang w:val="en-US" w:eastAsia="zh-CN"/>
        </w:rPr>
        <w:t xml:space="preserve">are </w:t>
      </w:r>
      <w:r w:rsidR="00AF2813">
        <w:rPr>
          <w:sz w:val="22"/>
          <w:szCs w:val="22"/>
          <w:lang w:val="en-US" w:eastAsia="zh-CN"/>
        </w:rPr>
        <w:t>proposed</w:t>
      </w:r>
      <w:r w:rsidRPr="00241AAD">
        <w:rPr>
          <w:sz w:val="22"/>
          <w:szCs w:val="22"/>
          <w:lang w:val="en-US" w:eastAsia="zh-CN"/>
        </w:rPr>
        <w:t>.</w:t>
      </w:r>
      <w:r w:rsidR="005D17B5">
        <w:rPr>
          <w:sz w:val="22"/>
          <w:szCs w:val="22"/>
          <w:lang w:val="en-US" w:eastAsia="zh-CN"/>
        </w:rPr>
        <w:t xml:space="preserve"> </w:t>
      </w:r>
      <w:r w:rsidR="00AD6A0B">
        <w:rPr>
          <w:sz w:val="22"/>
          <w:szCs w:val="22"/>
          <w:lang w:val="en-US" w:eastAsia="zh-CN"/>
        </w:rPr>
        <w:t>Note that the plenary agreements inv</w:t>
      </w:r>
      <w:r w:rsidR="002F7482">
        <w:rPr>
          <w:sz w:val="22"/>
          <w:szCs w:val="22"/>
          <w:lang w:val="en-US" w:eastAsia="zh-CN"/>
        </w:rPr>
        <w:t xml:space="preserve">olve avoiding collisions between NR DM-RS and LTE CRS and this requires some more elaboration on how length 9 and 10 are intended to be used </w:t>
      </w:r>
    </w:p>
    <w:p w14:paraId="44C04CA7" w14:textId="77777777" w:rsidR="00241AAD" w:rsidRPr="00241AAD" w:rsidRDefault="00241AAD" w:rsidP="00241AAD">
      <w:pPr>
        <w:overflowPunct/>
        <w:autoSpaceDE/>
        <w:autoSpaceDN/>
        <w:adjustRightInd/>
        <w:spacing w:after="0"/>
        <w:textAlignment w:val="auto"/>
        <w:rPr>
          <w:sz w:val="22"/>
          <w:szCs w:val="22"/>
          <w:lang w:val="en-US" w:eastAsia="zh-CN"/>
        </w:rPr>
      </w:pPr>
    </w:p>
    <w:p w14:paraId="20498F17" w14:textId="77777777" w:rsidR="00241AAD" w:rsidRPr="00A67F4F" w:rsidRDefault="00241AAD" w:rsidP="00A67F4F">
      <w:pPr>
        <w:pStyle w:val="Heading2"/>
        <w:numPr>
          <w:ilvl w:val="1"/>
          <w:numId w:val="17"/>
        </w:numPr>
        <w:rPr>
          <w:lang w:val="en-US"/>
        </w:rPr>
      </w:pPr>
      <w:r w:rsidRPr="00A67F4F">
        <w:rPr>
          <w:lang w:val="en-US"/>
        </w:rPr>
        <w:t>On using PDSCH Type B for DSS</w:t>
      </w:r>
    </w:p>
    <w:p w14:paraId="410338D3" w14:textId="02D98A23" w:rsidR="00241AAD" w:rsidRPr="00241AAD" w:rsidRDefault="00FE4003" w:rsidP="00B008AB">
      <w:pPr>
        <w:overflowPunct/>
        <w:autoSpaceDE/>
        <w:autoSpaceDN/>
        <w:adjustRightInd/>
        <w:spacing w:after="0"/>
        <w:jc w:val="both"/>
        <w:textAlignment w:val="auto"/>
        <w:rPr>
          <w:sz w:val="22"/>
          <w:szCs w:val="22"/>
          <w:lang w:val="en-US" w:eastAsia="zh-CN"/>
        </w:rPr>
      </w:pPr>
      <w:r w:rsidRPr="00241AAD">
        <w:rPr>
          <w:sz w:val="22"/>
          <w:szCs w:val="22"/>
          <w:lang w:eastAsia="zh-CN"/>
        </w:rPr>
        <w:drawing>
          <wp:anchor distT="0" distB="0" distL="114300" distR="114300" simplePos="0" relativeHeight="251658240" behindDoc="0" locked="0" layoutInCell="1" allowOverlap="1" wp14:anchorId="13A97B0F" wp14:editId="4C7EEB15">
            <wp:simplePos x="0" y="0"/>
            <wp:positionH relativeFrom="margin">
              <wp:posOffset>994410</wp:posOffset>
            </wp:positionH>
            <wp:positionV relativeFrom="paragraph">
              <wp:posOffset>742950</wp:posOffset>
            </wp:positionV>
            <wp:extent cx="4067175" cy="1844675"/>
            <wp:effectExtent l="0" t="0" r="9525"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67175" cy="1844675"/>
                    </a:xfrm>
                    <a:prstGeom prst="rect">
                      <a:avLst/>
                    </a:prstGeom>
                    <a:noFill/>
                  </pic:spPr>
                </pic:pic>
              </a:graphicData>
            </a:graphic>
            <wp14:sizeRelH relativeFrom="margin">
              <wp14:pctWidth>0</wp14:pctWidth>
            </wp14:sizeRelH>
            <wp14:sizeRelV relativeFrom="margin">
              <wp14:pctHeight>0</wp14:pctHeight>
            </wp14:sizeRelV>
          </wp:anchor>
        </w:drawing>
      </w:r>
      <w:r w:rsidR="00241AAD" w:rsidRPr="00241AAD">
        <w:rPr>
          <w:sz w:val="22"/>
          <w:szCs w:val="22"/>
          <w:lang w:eastAsia="zh-CN"/>
        </w:rPr>
        <w:t xml:space="preserve">The motivation behind the new TEI-16 endorsed in </w:t>
      </w:r>
      <w:r w:rsidR="00A67F4F">
        <w:rPr>
          <w:sz w:val="22"/>
          <w:szCs w:val="22"/>
          <w:lang w:eastAsia="zh-CN"/>
        </w:rPr>
        <w:fldChar w:fldCharType="begin"/>
      </w:r>
      <w:r w:rsidR="00A67F4F">
        <w:rPr>
          <w:sz w:val="22"/>
          <w:szCs w:val="22"/>
          <w:lang w:eastAsia="zh-CN"/>
        </w:rPr>
        <w:instrText xml:space="preserve"> REF _Ref16684993 \r \h </w:instrText>
      </w:r>
      <w:r w:rsidR="00B008AB">
        <w:rPr>
          <w:sz w:val="22"/>
          <w:szCs w:val="22"/>
          <w:lang w:eastAsia="zh-CN"/>
        </w:rPr>
        <w:instrText xml:space="preserve"> \* MERGEFORMAT </w:instrText>
      </w:r>
      <w:r w:rsidR="00A67F4F">
        <w:rPr>
          <w:sz w:val="22"/>
          <w:szCs w:val="22"/>
          <w:lang w:eastAsia="zh-CN"/>
        </w:rPr>
      </w:r>
      <w:r w:rsidR="00A67F4F">
        <w:rPr>
          <w:sz w:val="22"/>
          <w:szCs w:val="22"/>
          <w:lang w:eastAsia="zh-CN"/>
        </w:rPr>
        <w:fldChar w:fldCharType="separate"/>
      </w:r>
      <w:r w:rsidR="00431AC5">
        <w:rPr>
          <w:sz w:val="22"/>
          <w:szCs w:val="22"/>
          <w:lang w:eastAsia="zh-CN"/>
        </w:rPr>
        <w:t>[15]</w:t>
      </w:r>
      <w:r w:rsidR="00A67F4F">
        <w:rPr>
          <w:sz w:val="22"/>
          <w:szCs w:val="22"/>
          <w:lang w:eastAsia="zh-CN"/>
        </w:rPr>
        <w:fldChar w:fldCharType="end"/>
      </w:r>
      <w:r w:rsidR="00241AAD" w:rsidRPr="00241AAD">
        <w:rPr>
          <w:sz w:val="22"/>
          <w:szCs w:val="22"/>
          <w:lang w:eastAsia="zh-CN"/>
        </w:rPr>
        <w:t xml:space="preserve"> can be found in the plenary contribution </w:t>
      </w:r>
      <w:r w:rsidR="00A67F4F">
        <w:rPr>
          <w:sz w:val="22"/>
          <w:szCs w:val="22"/>
          <w:lang w:eastAsia="zh-CN"/>
        </w:rPr>
        <w:fldChar w:fldCharType="begin"/>
      </w:r>
      <w:r w:rsidR="00A67F4F">
        <w:rPr>
          <w:sz w:val="22"/>
          <w:szCs w:val="22"/>
          <w:lang w:eastAsia="zh-CN"/>
        </w:rPr>
        <w:instrText xml:space="preserve"> REF _Hlk16583818 \r \h </w:instrText>
      </w:r>
      <w:r w:rsidR="00B008AB">
        <w:rPr>
          <w:sz w:val="22"/>
          <w:szCs w:val="22"/>
          <w:lang w:eastAsia="zh-CN"/>
        </w:rPr>
        <w:instrText xml:space="preserve"> \* MERGEFORMAT </w:instrText>
      </w:r>
      <w:r w:rsidR="00A67F4F">
        <w:rPr>
          <w:sz w:val="22"/>
          <w:szCs w:val="22"/>
          <w:lang w:eastAsia="zh-CN"/>
        </w:rPr>
      </w:r>
      <w:r w:rsidR="00A67F4F">
        <w:rPr>
          <w:sz w:val="22"/>
          <w:szCs w:val="22"/>
          <w:lang w:eastAsia="zh-CN"/>
        </w:rPr>
        <w:fldChar w:fldCharType="separate"/>
      </w:r>
      <w:r w:rsidR="00431AC5">
        <w:rPr>
          <w:sz w:val="22"/>
          <w:szCs w:val="22"/>
          <w:lang w:eastAsia="zh-CN"/>
        </w:rPr>
        <w:t>[16]</w:t>
      </w:r>
      <w:r w:rsidR="00A67F4F">
        <w:rPr>
          <w:sz w:val="22"/>
          <w:szCs w:val="22"/>
          <w:lang w:eastAsia="zh-CN"/>
        </w:rPr>
        <w:fldChar w:fldCharType="end"/>
      </w:r>
      <w:r w:rsidR="00241AAD" w:rsidRPr="00241AAD">
        <w:rPr>
          <w:sz w:val="22"/>
          <w:szCs w:val="22"/>
          <w:lang w:eastAsia="zh-CN"/>
        </w:rPr>
        <w:t xml:space="preserve">. The issue is that when using NR with DSS, there are unused OFDM symbols in the slot, see one example in </w:t>
      </w:r>
      <w:r w:rsidR="00241AAD" w:rsidRPr="00241AAD">
        <w:rPr>
          <w:sz w:val="22"/>
          <w:szCs w:val="22"/>
          <w:lang w:eastAsia="zh-CN"/>
        </w:rPr>
        <w:fldChar w:fldCharType="begin"/>
      </w:r>
      <w:r w:rsidR="00241AAD" w:rsidRPr="00241AAD">
        <w:rPr>
          <w:sz w:val="22"/>
          <w:szCs w:val="22"/>
          <w:lang w:eastAsia="zh-CN"/>
        </w:rPr>
        <w:instrText xml:space="preserve"> REF _Ref16058135  \* MERGEFORMAT </w:instrText>
      </w:r>
      <w:r w:rsidR="00241AAD" w:rsidRPr="00241AAD">
        <w:rPr>
          <w:sz w:val="22"/>
          <w:szCs w:val="22"/>
          <w:lang w:eastAsia="zh-CN"/>
        </w:rPr>
        <w:fldChar w:fldCharType="separate"/>
      </w:r>
      <w:r w:rsidR="00431AC5" w:rsidRPr="00AA50E5">
        <w:rPr>
          <w:sz w:val="22"/>
          <w:szCs w:val="22"/>
          <w:lang w:val="en-US" w:eastAsia="en-GB"/>
        </w:rPr>
        <w:t>Figure 1</w:t>
      </w:r>
      <w:r w:rsidR="00241AAD" w:rsidRPr="00241AAD">
        <w:rPr>
          <w:sz w:val="22"/>
          <w:szCs w:val="22"/>
          <w:lang w:eastAsia="zh-CN"/>
        </w:rPr>
        <w:fldChar w:fldCharType="end"/>
      </w:r>
      <w:r w:rsidR="00241AAD" w:rsidRPr="00241AAD">
        <w:rPr>
          <w:sz w:val="22"/>
          <w:szCs w:val="22"/>
          <w:lang w:eastAsia="zh-CN"/>
        </w:rPr>
        <w:t xml:space="preserve">. It has been observed that introducing PDSCH Type B scheduling of length 9 and 10 can fill these gaps.  </w:t>
      </w:r>
    </w:p>
    <w:p w14:paraId="33A7DDD4" w14:textId="77777777" w:rsidR="00241AAD" w:rsidRPr="00241AAD" w:rsidRDefault="00241AAD" w:rsidP="00241AAD">
      <w:pPr>
        <w:overflowPunct/>
        <w:autoSpaceDE/>
        <w:autoSpaceDN/>
        <w:adjustRightInd/>
        <w:spacing w:after="0"/>
        <w:textAlignment w:val="auto"/>
        <w:rPr>
          <w:sz w:val="22"/>
          <w:szCs w:val="22"/>
          <w:lang w:eastAsia="zh-CN"/>
        </w:rPr>
      </w:pPr>
      <w:r w:rsidRPr="00241AAD">
        <w:rPr>
          <w:sz w:val="22"/>
          <w:szCs w:val="22"/>
          <w:lang w:val="sv-SE" w:eastAsia="en-GB"/>
        </w:rPr>
        <mc:AlternateContent>
          <mc:Choice Requires="wps">
            <w:drawing>
              <wp:inline distT="0" distB="0" distL="0" distR="0" wp14:anchorId="7FA3CDA6" wp14:editId="4A155F93">
                <wp:extent cx="6234545" cy="635"/>
                <wp:effectExtent l="0" t="0" r="0" b="1905"/>
                <wp:docPr id="1" name="Text Box 1"/>
                <wp:cNvGraphicFramePr/>
                <a:graphic xmlns:a="http://schemas.openxmlformats.org/drawingml/2006/main">
                  <a:graphicData uri="http://schemas.microsoft.com/office/word/2010/wordprocessingShape">
                    <wps:wsp>
                      <wps:cNvSpPr txBox="1"/>
                      <wps:spPr>
                        <a:xfrm>
                          <a:off x="0" y="0"/>
                          <a:ext cx="6234545" cy="635"/>
                        </a:xfrm>
                        <a:prstGeom prst="rect">
                          <a:avLst/>
                        </a:prstGeom>
                        <a:solidFill>
                          <a:prstClr val="white"/>
                        </a:solidFill>
                        <a:ln>
                          <a:noFill/>
                        </a:ln>
                      </wps:spPr>
                      <wps:txbx>
                        <w:txbxContent>
                          <w:p w14:paraId="2EF20E77" w14:textId="73113ADC" w:rsidR="00AA50E5" w:rsidRPr="00807BA8" w:rsidRDefault="00AA50E5" w:rsidP="00FE4003">
                            <w:pPr>
                              <w:pStyle w:val="Caption"/>
                              <w:jc w:val="center"/>
                              <w:rPr>
                                <w:noProof/>
                                <w:lang w:val="en-US" w:eastAsia="zh-CN"/>
                              </w:rPr>
                            </w:pPr>
                            <w:bookmarkStart w:id="5" w:name="_Ref16058135"/>
                            <w:r w:rsidRPr="00807BA8">
                              <w:rPr>
                                <w:lang w:val="en-US"/>
                              </w:rPr>
                              <w:t xml:space="preserve">Figure </w:t>
                            </w:r>
                            <w:r>
                              <w:fldChar w:fldCharType="begin"/>
                            </w:r>
                            <w:r w:rsidRPr="00807BA8">
                              <w:rPr>
                                <w:lang w:val="en-US"/>
                              </w:rPr>
                              <w:instrText xml:space="preserve"> SEQ Figure \* ARABIC </w:instrText>
                            </w:r>
                            <w:r>
                              <w:fldChar w:fldCharType="separate"/>
                            </w:r>
                            <w:r>
                              <w:rPr>
                                <w:noProof/>
                                <w:lang w:val="en-US"/>
                              </w:rPr>
                              <w:t>1</w:t>
                            </w:r>
                            <w:r>
                              <w:fldChar w:fldCharType="end"/>
                            </w:r>
                            <w:bookmarkEnd w:id="5"/>
                            <w:r w:rsidRPr="00807BA8">
                              <w:rPr>
                                <w:lang w:val="en-US"/>
                              </w:rPr>
                              <w:t xml:space="preserve"> When LTE-NR is s</w:t>
                            </w:r>
                            <w:r>
                              <w:rPr>
                                <w:lang w:val="en-US"/>
                              </w:rPr>
                              <w:t>haring the carrier and two PDCCH symbols are used for NR PDCCH, then two symbols are not available for NR PDSCH which leads to a capacity loss for NR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type w14:anchorId="7FA3CDA6" id="_x0000_t202" coordsize="21600,21600" o:spt="202" path="m,l,21600r21600,l21600,xe">
                <v:stroke joinstyle="miter"/>
                <v:path gradientshapeok="t" o:connecttype="rect"/>
              </v:shapetype>
              <v:shape id="Text Box 1" o:spid="_x0000_s1026" type="#_x0000_t202" style="width:490.9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" stroked="f">
                <v:textbox style="mso-fit-shape-to-text:t" inset="0,0,0,0">
                  <w:txbxContent>
                    <w:p w14:paraId="2EF20E77" w14:textId="73113ADC" w:rsidR="00AA50E5" w:rsidRPr="00807BA8" w:rsidRDefault="00AA50E5" w:rsidP="00FE4003">
                      <w:pPr>
                        <w:pStyle w:val="Caption"/>
                        <w:jc w:val="center"/>
                        <w:rPr>
                          <w:noProof/>
                          <w:lang w:val="en-US" w:eastAsia="zh-CN"/>
                        </w:rPr>
                      </w:pPr>
                      <w:bookmarkStart w:id="6" w:name="_Ref16058135"/>
                      <w:r w:rsidRPr="00807BA8">
                        <w:rPr>
                          <w:lang w:val="en-US"/>
                        </w:rPr>
                        <w:t xml:space="preserve">Figure </w:t>
                      </w:r>
                      <w:r>
                        <w:fldChar w:fldCharType="begin"/>
                      </w:r>
                      <w:r w:rsidRPr="00807BA8">
                        <w:rPr>
                          <w:lang w:val="en-US"/>
                        </w:rPr>
                        <w:instrText xml:space="preserve"> SEQ Figure \* ARABIC </w:instrText>
                      </w:r>
                      <w:r>
                        <w:fldChar w:fldCharType="separate"/>
                      </w:r>
                      <w:r>
                        <w:rPr>
                          <w:noProof/>
                          <w:lang w:val="en-US"/>
                        </w:rPr>
                        <w:t>1</w:t>
                      </w:r>
                      <w:r>
                        <w:fldChar w:fldCharType="end"/>
                      </w:r>
                      <w:bookmarkEnd w:id="6"/>
                      <w:r w:rsidRPr="00807BA8">
                        <w:rPr>
                          <w:lang w:val="en-US"/>
                        </w:rPr>
                        <w:t xml:space="preserve"> When LTE-NR is s</w:t>
                      </w:r>
                      <w:r>
                        <w:rPr>
                          <w:lang w:val="en-US"/>
                        </w:rPr>
                        <w:t>haring the carrier and two PDCCH symbols are used for NR PDCCH, then two symbols are not available for NR PDSCH which leads to a capacity loss for NR</w:t>
                      </w:r>
                    </w:p>
                  </w:txbxContent>
                </v:textbox>
                <w10:anchorlock/>
              </v:shape>
            </w:pict>
          </mc:Fallback>
        </mc:AlternateContent>
      </w:r>
    </w:p>
    <w:p w14:paraId="6FFF60FD" w14:textId="77777777" w:rsidR="0096271D" w:rsidRDefault="0096271D" w:rsidP="00241AAD">
      <w:pPr>
        <w:overflowPunct/>
        <w:autoSpaceDE/>
        <w:autoSpaceDN/>
        <w:adjustRightInd/>
        <w:spacing w:after="0"/>
        <w:jc w:val="both"/>
        <w:textAlignment w:val="auto"/>
        <w:rPr>
          <w:sz w:val="22"/>
          <w:szCs w:val="22"/>
          <w:lang w:eastAsia="zh-CN"/>
        </w:rPr>
      </w:pPr>
    </w:p>
    <w:p w14:paraId="49F5EC6D" w14:textId="691A6320" w:rsidR="00241AAD" w:rsidRPr="00241AAD" w:rsidRDefault="00241AAD" w:rsidP="00241AAD">
      <w:pPr>
        <w:overflowPunct/>
        <w:autoSpaceDE/>
        <w:autoSpaceDN/>
        <w:adjustRightInd/>
        <w:spacing w:after="0"/>
        <w:jc w:val="both"/>
        <w:textAlignment w:val="auto"/>
        <w:rPr>
          <w:sz w:val="22"/>
          <w:szCs w:val="22"/>
          <w:lang w:eastAsia="zh-CN"/>
        </w:rPr>
      </w:pPr>
      <w:r w:rsidRPr="00241AAD">
        <w:rPr>
          <w:sz w:val="22"/>
          <w:szCs w:val="22"/>
          <w:lang w:eastAsia="zh-CN"/>
        </w:rPr>
        <w:t xml:space="preserve">When operating in DSS, it </w:t>
      </w:r>
      <w:r w:rsidR="00FE4003" w:rsidRPr="00241AAD">
        <w:rPr>
          <w:sz w:val="22"/>
          <w:szCs w:val="22"/>
          <w:lang w:eastAsia="zh-CN"/>
        </w:rPr>
        <w:t>must</w:t>
      </w:r>
      <w:r w:rsidRPr="00241AAD">
        <w:rPr>
          <w:sz w:val="22"/>
          <w:szCs w:val="22"/>
          <w:lang w:eastAsia="zh-CN"/>
        </w:rPr>
        <w:t xml:space="preserve"> be ensured that the NR DMRS is not colliding with symbols containing LTE CRS, as also stated in the endorsed proposal </w:t>
      </w:r>
      <w:r w:rsidR="00FE4003">
        <w:rPr>
          <w:sz w:val="22"/>
          <w:szCs w:val="22"/>
          <w:lang w:eastAsia="zh-CN"/>
        </w:rPr>
        <w:fldChar w:fldCharType="begin"/>
      </w:r>
      <w:r w:rsidR="00FE4003">
        <w:rPr>
          <w:sz w:val="22"/>
          <w:szCs w:val="22"/>
          <w:lang w:eastAsia="zh-CN"/>
        </w:rPr>
        <w:instrText xml:space="preserve"> REF _Ref16684993 \r \h </w:instrText>
      </w:r>
      <w:r w:rsidR="00FE4003">
        <w:rPr>
          <w:sz w:val="22"/>
          <w:szCs w:val="22"/>
          <w:lang w:eastAsia="zh-CN"/>
        </w:rPr>
      </w:r>
      <w:r w:rsidR="00FE4003">
        <w:rPr>
          <w:sz w:val="22"/>
          <w:szCs w:val="22"/>
          <w:lang w:eastAsia="zh-CN"/>
        </w:rPr>
        <w:fldChar w:fldCharType="separate"/>
      </w:r>
      <w:r w:rsidR="00431AC5">
        <w:rPr>
          <w:sz w:val="22"/>
          <w:szCs w:val="22"/>
          <w:lang w:eastAsia="zh-CN"/>
        </w:rPr>
        <w:t>[15]</w:t>
      </w:r>
      <w:r w:rsidR="00FE4003">
        <w:rPr>
          <w:sz w:val="22"/>
          <w:szCs w:val="22"/>
          <w:lang w:eastAsia="zh-CN"/>
        </w:rPr>
        <w:fldChar w:fldCharType="end"/>
      </w:r>
      <w:r w:rsidRPr="00241AAD">
        <w:rPr>
          <w:sz w:val="22"/>
          <w:szCs w:val="22"/>
          <w:lang w:eastAsia="zh-CN"/>
        </w:rPr>
        <w:t xml:space="preserve">. Hence, one must first observe how the Type B is used in DSS, before one can assess where to place the DMRS to avoid the mentioned collision. Note that for PDSCH Type B, only zero and one additional DMRS is considered (i.e. </w:t>
      </w:r>
      <w:proofErr w:type="spellStart"/>
      <w:r w:rsidRPr="00241AAD">
        <w:rPr>
          <w:i/>
          <w:iCs/>
          <w:lang w:val="en-US" w:eastAsia="en-GB"/>
        </w:rPr>
        <w:t>dmrs-AdditionalPosition</w:t>
      </w:r>
      <w:proofErr w:type="spellEnd"/>
      <w:r w:rsidRPr="00241AAD">
        <w:rPr>
          <w:i/>
          <w:iCs/>
          <w:lang w:val="en-US" w:eastAsia="en-GB"/>
        </w:rPr>
        <w:t xml:space="preserve">=’pos1’) </w:t>
      </w:r>
      <w:r w:rsidRPr="00241AAD">
        <w:rPr>
          <w:sz w:val="22"/>
          <w:szCs w:val="22"/>
          <w:lang w:eastAsia="zh-CN"/>
        </w:rPr>
        <w:t>hence collisions need only be considered for these cases.</w:t>
      </w:r>
    </w:p>
    <w:p w14:paraId="7A7BE657" w14:textId="77777777" w:rsidR="00241AAD" w:rsidRPr="00241AAD" w:rsidRDefault="00241AAD" w:rsidP="00241AAD">
      <w:pPr>
        <w:overflowPunct/>
        <w:autoSpaceDE/>
        <w:autoSpaceDN/>
        <w:adjustRightInd/>
        <w:spacing w:after="0"/>
        <w:jc w:val="both"/>
        <w:textAlignment w:val="auto"/>
        <w:rPr>
          <w:sz w:val="22"/>
          <w:szCs w:val="22"/>
          <w:lang w:eastAsia="zh-CN"/>
        </w:rPr>
      </w:pPr>
    </w:p>
    <w:p w14:paraId="7E408226" w14:textId="5BCF69F7" w:rsidR="00241AAD" w:rsidRPr="00241AAD" w:rsidRDefault="00241AAD" w:rsidP="00241AAD">
      <w:pPr>
        <w:overflowPunct/>
        <w:autoSpaceDE/>
        <w:autoSpaceDN/>
        <w:adjustRightInd/>
        <w:spacing w:after="0"/>
        <w:jc w:val="both"/>
        <w:textAlignment w:val="auto"/>
        <w:rPr>
          <w:sz w:val="22"/>
          <w:szCs w:val="22"/>
          <w:lang w:eastAsia="zh-CN"/>
        </w:rPr>
      </w:pPr>
      <w:r w:rsidRPr="00241AAD">
        <w:rPr>
          <w:sz w:val="22"/>
          <w:szCs w:val="22"/>
          <w:lang w:eastAsia="zh-CN"/>
        </w:rPr>
        <w:t>The subcarrier spacings (SCS) of interest to operators using DSS are 15 and 30 kHz. Not</w:t>
      </w:r>
      <w:r w:rsidR="00D5292A">
        <w:rPr>
          <w:sz w:val="22"/>
          <w:szCs w:val="22"/>
          <w:lang w:eastAsia="zh-CN"/>
        </w:rPr>
        <w:t>e</w:t>
      </w:r>
      <w:r w:rsidRPr="00241AAD">
        <w:rPr>
          <w:sz w:val="22"/>
          <w:szCs w:val="22"/>
          <w:lang w:eastAsia="zh-CN"/>
        </w:rPr>
        <w:t xml:space="preserve"> that in case of 30 kHz SCS use case, there is no LTE CRS pattern defined to the NR UE, instead the network can use the NR feature of reserved resources on RB level and make those symbols containing LTE CRS unavailable for NR PDSCH mapping. </w:t>
      </w:r>
    </w:p>
    <w:p w14:paraId="0BCDF766" w14:textId="77777777" w:rsidR="00241AAD" w:rsidRPr="00241AAD" w:rsidRDefault="00241AAD" w:rsidP="00241AAD">
      <w:pPr>
        <w:overflowPunct/>
        <w:autoSpaceDE/>
        <w:autoSpaceDN/>
        <w:adjustRightInd/>
        <w:spacing w:after="0"/>
        <w:textAlignment w:val="auto"/>
        <w:rPr>
          <w:sz w:val="22"/>
          <w:szCs w:val="22"/>
          <w:lang w:val="en-US" w:eastAsia="zh-CN"/>
        </w:rPr>
      </w:pPr>
    </w:p>
    <w:p w14:paraId="7798C6D0" w14:textId="73558E57" w:rsidR="00241AAD" w:rsidRPr="00241AAD" w:rsidRDefault="00241AAD" w:rsidP="00241AAD">
      <w:pPr>
        <w:overflowPunct/>
        <w:autoSpaceDE/>
        <w:autoSpaceDN/>
        <w:adjustRightInd/>
        <w:spacing w:after="0"/>
        <w:textAlignment w:val="auto"/>
        <w:rPr>
          <w:sz w:val="22"/>
          <w:szCs w:val="22"/>
          <w:lang w:val="en-US" w:eastAsia="zh-CN"/>
        </w:rPr>
      </w:pPr>
      <w:r w:rsidRPr="00241AAD">
        <w:rPr>
          <w:sz w:val="22"/>
          <w:szCs w:val="22"/>
          <w:lang w:val="en-US" w:eastAsia="zh-CN"/>
        </w:rPr>
        <w:t>We have the following solution for length 9 and 10 that fulfill the TEI-16 objective:</w:t>
      </w:r>
    </w:p>
    <w:p w14:paraId="3B1013B2" w14:textId="77777777" w:rsidR="00241AAD" w:rsidRPr="00241AAD" w:rsidRDefault="00241AAD" w:rsidP="00241AAD">
      <w:pPr>
        <w:overflowPunct/>
        <w:autoSpaceDE/>
        <w:autoSpaceDN/>
        <w:adjustRightInd/>
        <w:spacing w:after="0"/>
        <w:textAlignment w:val="auto"/>
        <w:rPr>
          <w:sz w:val="22"/>
          <w:szCs w:val="22"/>
          <w:lang w:val="en-US" w:eastAsia="zh-CN"/>
        </w:rPr>
      </w:pPr>
    </w:p>
    <w:p w14:paraId="72D0707F" w14:textId="6FDC4AAA" w:rsidR="00241AAD" w:rsidRPr="00241AAD" w:rsidRDefault="00241AAD" w:rsidP="00D7016B">
      <w:pPr>
        <w:pStyle w:val="Observation"/>
        <w:rPr>
          <w:lang w:val="en-US"/>
        </w:rPr>
      </w:pPr>
      <w:bookmarkStart w:id="7" w:name="_Ref16062045"/>
      <w:bookmarkStart w:id="8" w:name="_Ref16685366"/>
      <w:bookmarkStart w:id="9" w:name="_Toc16886757"/>
      <w:r w:rsidRPr="00241AAD">
        <w:rPr>
          <w:lang w:val="en-US"/>
        </w:rPr>
        <w:t xml:space="preserve">For length 9 and 10 PDSCH Type B scheduling with one additional DMRS, the position(s) of the DMRS is </w:t>
      </w:r>
      <m:oMath>
        <m:sSub>
          <m:sSubPr>
            <m:ctrlPr>
              <w:rPr>
                <w:rFonts w:ascii="Cambria Math" w:hAnsi="Cambria Math"/>
                <w:i/>
                <w:lang w:val="en-US"/>
              </w:rPr>
            </m:ctrlPr>
          </m:sSubPr>
          <m:e>
            <m:r>
              <m:rPr>
                <m:sty m:val="bi"/>
              </m:rPr>
              <w:rPr>
                <w:rFonts w:ascii="Cambria Math" w:hAnsi="Cambria Math"/>
                <w:lang w:val="en-US"/>
              </w:rPr>
              <m:t>l</m:t>
            </m:r>
          </m:e>
          <m:sub>
            <m:r>
              <m:rPr>
                <m:sty m:val="bi"/>
              </m:rPr>
              <w:rPr>
                <w:rFonts w:ascii="Cambria Math" w:hAnsi="Cambria Math"/>
                <w:lang w:val="en-US"/>
              </w:rPr>
              <m:t>0</m:t>
            </m:r>
          </m:sub>
        </m:sSub>
      </m:oMath>
      <w:r w:rsidRPr="00241AAD">
        <w:rPr>
          <w:lang w:val="en-US"/>
        </w:rPr>
        <w:t xml:space="preserve"> and  </w:t>
      </w:r>
      <m:oMath>
        <m:d>
          <m:dPr>
            <m:ctrlPr>
              <w:rPr>
                <w:rFonts w:ascii="Cambria Math" w:hAnsi="Cambria Math"/>
                <w:i/>
                <w:lang w:val="en-US"/>
              </w:rPr>
            </m:ctrlPr>
          </m:dPr>
          <m:e>
            <m:sSub>
              <m:sSubPr>
                <m:ctrlPr>
                  <w:rPr>
                    <w:rFonts w:ascii="Cambria Math" w:hAnsi="Cambria Math"/>
                    <w:i/>
                    <w:lang w:val="en-US"/>
                  </w:rPr>
                </m:ctrlPr>
              </m:sSubPr>
              <m:e>
                <m:r>
                  <m:rPr>
                    <m:sty m:val="bi"/>
                  </m:rPr>
                  <w:rPr>
                    <w:rFonts w:ascii="Cambria Math" w:hAnsi="Cambria Math"/>
                    <w:lang w:val="en-US"/>
                  </w:rPr>
                  <m:t>l</m:t>
                </m:r>
              </m:e>
              <m:sub>
                <m:r>
                  <m:rPr>
                    <m:sty m:val="bi"/>
                  </m:rPr>
                  <w:rPr>
                    <w:rFonts w:ascii="Cambria Math" w:hAnsi="Cambria Math"/>
                    <w:lang w:val="en-US"/>
                  </w:rPr>
                  <m:t>0</m:t>
                </m:r>
              </m:sub>
            </m:sSub>
            <m:r>
              <m:rPr>
                <m:sty m:val="bi"/>
              </m:rPr>
              <w:rPr>
                <w:rFonts w:ascii="Cambria Math" w:hAnsi="Cambria Math"/>
                <w:lang w:val="en-US"/>
              </w:rPr>
              <m:t>,7</m:t>
            </m:r>
          </m:e>
        </m:d>
      </m:oMath>
      <w:r w:rsidRPr="00241AAD">
        <w:rPr>
          <w:lang w:val="en-US"/>
        </w:rPr>
        <w:t xml:space="preserve"> for </w:t>
      </w:r>
      <w:proofErr w:type="spellStart"/>
      <w:r w:rsidRPr="00241AAD">
        <w:rPr>
          <w:i/>
          <w:iCs/>
          <w:lang w:val="en-US" w:eastAsia="en-GB"/>
        </w:rPr>
        <w:t>dmrs-AdditionalPosition</w:t>
      </w:r>
      <w:proofErr w:type="spellEnd"/>
      <w:r w:rsidRPr="00241AAD">
        <w:rPr>
          <w:lang w:val="en-US"/>
        </w:rPr>
        <w:t xml:space="preserve"> = ‘pos0’ and ‘pos1’ respectively</w:t>
      </w:r>
      <w:r w:rsidR="004B7C22">
        <w:rPr>
          <w:lang w:val="en-US"/>
        </w:rPr>
        <w:t xml:space="preserve"> fulfills TEI-16 DSS requirement</w:t>
      </w:r>
      <w:r w:rsidRPr="00241AAD">
        <w:rPr>
          <w:lang w:val="en-US"/>
        </w:rPr>
        <w:t xml:space="preserve">. Here </w:t>
      </w:r>
      <m:oMath>
        <m:sSub>
          <m:sSubPr>
            <m:ctrlPr>
              <w:rPr>
                <w:rFonts w:ascii="Cambria Math" w:hAnsi="Cambria Math"/>
                <w:i/>
                <w:lang w:val="en-US"/>
              </w:rPr>
            </m:ctrlPr>
          </m:sSubPr>
          <m:e>
            <m:r>
              <m:rPr>
                <m:sty m:val="bi"/>
              </m:rPr>
              <w:rPr>
                <w:rFonts w:ascii="Cambria Math" w:hAnsi="Cambria Math"/>
                <w:lang w:val="en-US"/>
              </w:rPr>
              <m:t>l</m:t>
            </m:r>
          </m:e>
          <m:sub>
            <m:r>
              <m:rPr>
                <m:sty m:val="bi"/>
              </m:rPr>
              <w:rPr>
                <w:rFonts w:ascii="Cambria Math" w:hAnsi="Cambria Math"/>
                <w:lang w:val="en-US"/>
              </w:rPr>
              <m:t>0</m:t>
            </m:r>
          </m:sub>
        </m:sSub>
      </m:oMath>
      <w:r w:rsidRPr="00241AAD">
        <w:rPr>
          <w:lang w:val="en-US"/>
        </w:rPr>
        <w:t xml:space="preserve">  is the position of the first DMRS in the scheduled duration as in Rel-15, following the Rel-15 </w:t>
      </w:r>
      <w:bookmarkEnd w:id="7"/>
      <w:r w:rsidRPr="00241AAD">
        <w:rPr>
          <w:lang w:val="en-US"/>
        </w:rPr>
        <w:t>behavior</w:t>
      </w:r>
      <w:r w:rsidR="00224940">
        <w:rPr>
          <w:lang w:val="en-US"/>
        </w:rPr>
        <w:t>.</w:t>
      </w:r>
      <w:bookmarkEnd w:id="8"/>
      <w:bookmarkEnd w:id="9"/>
      <w:r w:rsidR="00224940">
        <w:rPr>
          <w:lang w:val="en-US"/>
        </w:rPr>
        <w:t xml:space="preserve"> </w:t>
      </w:r>
    </w:p>
    <w:p w14:paraId="4178BA5D" w14:textId="77777777" w:rsidR="00241AAD" w:rsidRPr="00241AAD" w:rsidRDefault="00241AAD" w:rsidP="00241AAD">
      <w:pPr>
        <w:tabs>
          <w:tab w:val="left" w:pos="1701"/>
        </w:tabs>
        <w:overflowPunct/>
        <w:autoSpaceDE/>
        <w:autoSpaceDN/>
        <w:adjustRightInd/>
        <w:spacing w:after="0"/>
        <w:textAlignment w:val="auto"/>
        <w:rPr>
          <w:b/>
          <w:bCs/>
          <w:sz w:val="22"/>
          <w:szCs w:val="22"/>
          <w:lang w:val="en-US" w:eastAsia="zh-CN"/>
        </w:rPr>
      </w:pPr>
    </w:p>
    <w:p w14:paraId="4F924FEF" w14:textId="06497328" w:rsidR="00241AAD" w:rsidRPr="00241AAD" w:rsidRDefault="00241AAD" w:rsidP="00241AAD">
      <w:pPr>
        <w:tabs>
          <w:tab w:val="left" w:pos="1701"/>
        </w:tabs>
        <w:overflowPunct/>
        <w:autoSpaceDE/>
        <w:autoSpaceDN/>
        <w:adjustRightInd/>
        <w:spacing w:after="0"/>
        <w:textAlignment w:val="auto"/>
        <w:rPr>
          <w:bCs/>
          <w:sz w:val="22"/>
          <w:szCs w:val="22"/>
          <w:lang w:val="en-US" w:eastAsia="zh-CN"/>
        </w:rPr>
      </w:pPr>
      <w:r w:rsidRPr="00241AAD">
        <w:rPr>
          <w:b/>
          <w:bCs/>
          <w:sz w:val="22"/>
          <w:szCs w:val="22"/>
          <w:lang w:val="sv-SE" w:eastAsia="en-GB"/>
        </w:rPr>
        <mc:AlternateContent>
          <mc:Choice Requires="wps">
            <w:drawing>
              <wp:anchor distT="0" distB="0" distL="114300" distR="114300" simplePos="0" relativeHeight="251658242" behindDoc="0" locked="0" layoutInCell="1" allowOverlap="1" wp14:anchorId="3100776D" wp14:editId="79F24F16">
                <wp:simplePos x="0" y="0"/>
                <wp:positionH relativeFrom="margin">
                  <wp:align>right</wp:align>
                </wp:positionH>
                <wp:positionV relativeFrom="paragraph">
                  <wp:posOffset>2176780</wp:posOffset>
                </wp:positionV>
                <wp:extent cx="6259195" cy="635"/>
                <wp:effectExtent l="0" t="0" r="8255" b="1905"/>
                <wp:wrapTopAndBottom/>
                <wp:docPr id="4" name="Text Box 4"/>
                <wp:cNvGraphicFramePr/>
                <a:graphic xmlns:a="http://schemas.openxmlformats.org/drawingml/2006/main">
                  <a:graphicData uri="http://schemas.microsoft.com/office/word/2010/wordprocessingShape">
                    <wps:wsp>
                      <wps:cNvSpPr txBox="1"/>
                      <wps:spPr>
                        <a:xfrm>
                          <a:off x="0" y="0"/>
                          <a:ext cx="6259195" cy="635"/>
                        </a:xfrm>
                        <a:prstGeom prst="rect">
                          <a:avLst/>
                        </a:prstGeom>
                        <a:solidFill>
                          <a:prstClr val="white"/>
                        </a:solidFill>
                        <a:ln>
                          <a:noFill/>
                        </a:ln>
                      </wps:spPr>
                      <wps:txbx>
                        <w:txbxContent>
                          <w:p w14:paraId="1721BAA8" w14:textId="65288E13" w:rsidR="00AA50E5" w:rsidRPr="00AE26CA" w:rsidRDefault="00AA50E5" w:rsidP="00224940">
                            <w:pPr>
                              <w:pStyle w:val="Caption"/>
                              <w:jc w:val="center"/>
                              <w:rPr>
                                <w:noProof/>
                                <w:lang w:val="en-US" w:eastAsia="zh-CN"/>
                              </w:rPr>
                            </w:pPr>
                            <w:r w:rsidRPr="00AE26CA">
                              <w:rPr>
                                <w:lang w:val="en-US"/>
                              </w:rPr>
                              <w:t xml:space="preserve">Figure </w:t>
                            </w:r>
                            <w:r>
                              <w:fldChar w:fldCharType="begin"/>
                            </w:r>
                            <w:r w:rsidRPr="00AE26CA">
                              <w:rPr>
                                <w:lang w:val="en-US"/>
                              </w:rPr>
                              <w:instrText xml:space="preserve"> SEQ Figure \* ARABIC </w:instrText>
                            </w:r>
                            <w:r>
                              <w:fldChar w:fldCharType="separate"/>
                            </w:r>
                            <w:r>
                              <w:rPr>
                                <w:noProof/>
                                <w:lang w:val="en-US"/>
                              </w:rPr>
                              <w:t>2</w:t>
                            </w:r>
                            <w:r>
                              <w:fldChar w:fldCharType="end"/>
                            </w:r>
                            <w:r w:rsidRPr="00AE26CA">
                              <w:rPr>
                                <w:lang w:val="en-US"/>
                              </w:rPr>
                              <w:t xml:space="preserve"> For 15 kHz SCS, the </w:t>
                            </w:r>
                            <w:r>
                              <w:rPr>
                                <w:lang w:val="en-US"/>
                              </w:rPr>
                              <w:t>proposed DMRS positions (red) are not colliding with the LTE CRS positions (black) while there are no empty symbols, hence fulfilling the objective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100776D" id="Text Box 4" o:spid="_x0000_s1027" type="#_x0000_t202" style="position:absolute;margin-left:441.65pt;margin-top:171.4pt;width:492.85pt;height:.05pt;z-index:25165824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" stroked="f">
                <v:textbox style="mso-fit-shape-to-text:t" inset="0,0,0,0">
                  <w:txbxContent>
                    <w:p w14:paraId="1721BAA8" w14:textId="65288E13" w:rsidR="00AA50E5" w:rsidRPr="00AE26CA" w:rsidRDefault="00AA50E5" w:rsidP="00224940">
                      <w:pPr>
                        <w:pStyle w:val="Caption"/>
                        <w:jc w:val="center"/>
                        <w:rPr>
                          <w:noProof/>
                          <w:lang w:val="en-US" w:eastAsia="zh-CN"/>
                        </w:rPr>
                      </w:pPr>
                      <w:r w:rsidRPr="00AE26CA">
                        <w:rPr>
                          <w:lang w:val="en-US"/>
                        </w:rPr>
                        <w:t xml:space="preserve">Figure </w:t>
                      </w:r>
                      <w:r>
                        <w:fldChar w:fldCharType="begin"/>
                      </w:r>
                      <w:r w:rsidRPr="00AE26CA">
                        <w:rPr>
                          <w:lang w:val="en-US"/>
                        </w:rPr>
                        <w:instrText xml:space="preserve"> SEQ Figure \* ARABIC </w:instrText>
                      </w:r>
                      <w:r>
                        <w:fldChar w:fldCharType="separate"/>
                      </w:r>
                      <w:r>
                        <w:rPr>
                          <w:noProof/>
                          <w:lang w:val="en-US"/>
                        </w:rPr>
                        <w:t>2</w:t>
                      </w:r>
                      <w:r>
                        <w:fldChar w:fldCharType="end"/>
                      </w:r>
                      <w:r w:rsidRPr="00AE26CA">
                        <w:rPr>
                          <w:lang w:val="en-US"/>
                        </w:rPr>
                        <w:t xml:space="preserve"> For 15 kHz SCS, the </w:t>
                      </w:r>
                      <w:r>
                        <w:rPr>
                          <w:lang w:val="en-US"/>
                        </w:rPr>
                        <w:t>proposed DMRS positions (red) are not colliding with the LTE CRS positions (black) while there are no empty symbols, hence fulfilling the objective</w:t>
                      </w:r>
                    </w:p>
                  </w:txbxContent>
                </v:textbox>
                <w10:wrap type="topAndBottom" anchorx="margin"/>
              </v:shape>
            </w:pict>
          </mc:Fallback>
        </mc:AlternateContent>
      </w:r>
      <w:r w:rsidRPr="00241AAD">
        <w:rPr>
          <w:bCs/>
          <w:sz w:val="22"/>
          <w:szCs w:val="22"/>
          <w:lang w:val="en-US" w:eastAsia="zh-CN"/>
        </w:rPr>
        <w:drawing>
          <wp:anchor distT="0" distB="0" distL="114300" distR="114300" simplePos="0" relativeHeight="251658241" behindDoc="0" locked="0" layoutInCell="1" allowOverlap="1" wp14:anchorId="5FD0EB90" wp14:editId="6CE9D4CB">
            <wp:simplePos x="0" y="0"/>
            <wp:positionH relativeFrom="margin">
              <wp:align>center</wp:align>
            </wp:positionH>
            <wp:positionV relativeFrom="paragraph">
              <wp:posOffset>340360</wp:posOffset>
            </wp:positionV>
            <wp:extent cx="4041775" cy="1823085"/>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41775" cy="1823085"/>
                    </a:xfrm>
                    <a:prstGeom prst="rect">
                      <a:avLst/>
                    </a:prstGeom>
                    <a:noFill/>
                  </pic:spPr>
                </pic:pic>
              </a:graphicData>
            </a:graphic>
          </wp:anchor>
        </w:drawing>
      </w:r>
      <w:r w:rsidRPr="00241AAD">
        <w:rPr>
          <w:bCs/>
          <w:sz w:val="22"/>
          <w:szCs w:val="22"/>
          <w:lang w:val="en-US" w:eastAsia="zh-CN"/>
        </w:rPr>
        <w:t xml:space="preserve">As can be seen below for 15 kHz SCS, this </w:t>
      </w:r>
      <w:r w:rsidR="001C7080">
        <w:rPr>
          <w:bCs/>
          <w:sz w:val="22"/>
          <w:szCs w:val="22"/>
          <w:lang w:val="en-US" w:eastAsia="zh-CN"/>
        </w:rPr>
        <w:t xml:space="preserve">solution </w:t>
      </w:r>
      <w:r w:rsidRPr="00241AAD">
        <w:rPr>
          <w:bCs/>
          <w:sz w:val="22"/>
          <w:szCs w:val="22"/>
          <w:lang w:val="en-US" w:eastAsia="zh-CN"/>
        </w:rPr>
        <w:t>allows the full NR slot to be used for NR PDSCH (except the symbol already occupied by LTE CRS):</w:t>
      </w:r>
    </w:p>
    <w:p w14:paraId="3B116EF9" w14:textId="55E6955D" w:rsidR="00241AAD" w:rsidRPr="00241AAD" w:rsidRDefault="003E3AC5" w:rsidP="00241AAD">
      <w:pPr>
        <w:tabs>
          <w:tab w:val="left" w:pos="1701"/>
        </w:tabs>
        <w:overflowPunct/>
        <w:autoSpaceDE/>
        <w:autoSpaceDN/>
        <w:adjustRightInd/>
        <w:spacing w:after="0"/>
        <w:jc w:val="both"/>
        <w:textAlignment w:val="auto"/>
        <w:rPr>
          <w:sz w:val="22"/>
          <w:szCs w:val="22"/>
          <w:lang w:val="en-US" w:eastAsia="zh-CN"/>
        </w:rPr>
      </w:pPr>
      <w:r w:rsidRPr="00241AAD">
        <w:rPr>
          <w:bCs/>
          <w:sz w:val="22"/>
          <w:szCs w:val="22"/>
          <w:lang w:val="sv-SE" w:eastAsia="zh-CN"/>
        </w:rPr>
        <w:drawing>
          <wp:anchor distT="0" distB="0" distL="114300" distR="114300" simplePos="0" relativeHeight="251658243" behindDoc="0" locked="0" layoutInCell="1" allowOverlap="1" wp14:anchorId="5A91AA0B" wp14:editId="41BD0A07">
            <wp:simplePos x="0" y="0"/>
            <wp:positionH relativeFrom="margin">
              <wp:posOffset>1085850</wp:posOffset>
            </wp:positionH>
            <wp:positionV relativeFrom="paragraph">
              <wp:posOffset>261620</wp:posOffset>
            </wp:positionV>
            <wp:extent cx="3948430" cy="2087880"/>
            <wp:effectExtent l="0" t="0" r="0" b="0"/>
            <wp:wrapTopAndBottom/>
            <wp:docPr id="5" name="Picture 4">
              <a:extLst xmlns:a="http://schemas.openxmlformats.org/drawingml/2006/main">
                <a:ext uri="{FF2B5EF4-FFF2-40B4-BE49-F238E27FC236}">
                  <a16:creationId xmlns:a16="http://schemas.microsoft.com/office/drawing/2014/main" id="{B4F892B2-272A-4664-BC1E-E7DEC015C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4F892B2-272A-4664-BC1E-E7DEC015CF76}"/>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48430" cy="2087880"/>
                    </a:xfrm>
                    <a:prstGeom prst="rect">
                      <a:avLst/>
                    </a:prstGeom>
                  </pic:spPr>
                </pic:pic>
              </a:graphicData>
            </a:graphic>
            <wp14:sizeRelH relativeFrom="margin">
              <wp14:pctWidth>0</wp14:pctWidth>
            </wp14:sizeRelH>
            <wp14:sizeRelV relativeFrom="margin">
              <wp14:pctHeight>0</wp14:pctHeight>
            </wp14:sizeRelV>
          </wp:anchor>
        </w:drawing>
      </w:r>
      <w:r w:rsidR="00241AAD" w:rsidRPr="00241AAD">
        <w:rPr>
          <w:rFonts w:ascii="Calibri" w:hAnsi="Calibri" w:cs="Arial"/>
          <w:b/>
          <w:bCs/>
          <w:sz w:val="22"/>
          <w:szCs w:val="22"/>
          <w:lang w:val="sv-SE" w:eastAsia="en-GB"/>
        </w:rPr>
        <mc:AlternateContent>
          <mc:Choice Requires="wps">
            <w:drawing>
              <wp:anchor distT="0" distB="0" distL="114300" distR="114300" simplePos="0" relativeHeight="251658244" behindDoc="0" locked="0" layoutInCell="1" allowOverlap="1" wp14:anchorId="619555A6" wp14:editId="6319E2F2">
                <wp:simplePos x="0" y="0"/>
                <wp:positionH relativeFrom="margin">
                  <wp:align>right</wp:align>
                </wp:positionH>
                <wp:positionV relativeFrom="paragraph">
                  <wp:posOffset>2435225</wp:posOffset>
                </wp:positionV>
                <wp:extent cx="6109335" cy="635"/>
                <wp:effectExtent l="0" t="0" r="5715" b="1905"/>
                <wp:wrapTopAndBottom/>
                <wp:docPr id="6" name="Text Box 6"/>
                <wp:cNvGraphicFramePr/>
                <a:graphic xmlns:a="http://schemas.openxmlformats.org/drawingml/2006/main">
                  <a:graphicData uri="http://schemas.microsoft.com/office/word/2010/wordprocessingShape">
                    <wps:wsp>
                      <wps:cNvSpPr txBox="1"/>
                      <wps:spPr>
                        <a:xfrm>
                          <a:off x="0" y="0"/>
                          <a:ext cx="6109335" cy="635"/>
                        </a:xfrm>
                        <a:prstGeom prst="rect">
                          <a:avLst/>
                        </a:prstGeom>
                        <a:solidFill>
                          <a:prstClr val="white"/>
                        </a:solidFill>
                        <a:ln>
                          <a:noFill/>
                        </a:ln>
                      </wps:spPr>
                      <wps:txbx>
                        <w:txbxContent>
                          <w:p w14:paraId="04028731" w14:textId="239CC804" w:rsidR="00AA50E5" w:rsidRPr="00CC7E51" w:rsidRDefault="00AA50E5" w:rsidP="00241AAD">
                            <w:pPr>
                              <w:pStyle w:val="Caption"/>
                              <w:rPr>
                                <w:lang w:val="en-US" w:eastAsia="zh-CN"/>
                              </w:rPr>
                            </w:pPr>
                            <w:r w:rsidRPr="00CC7E51">
                              <w:rPr>
                                <w:lang w:val="en-US"/>
                              </w:rPr>
                              <w:t xml:space="preserve">Figure </w:t>
                            </w:r>
                            <w:r>
                              <w:fldChar w:fldCharType="begin"/>
                            </w:r>
                            <w:r w:rsidRPr="00CC7E51">
                              <w:rPr>
                                <w:lang w:val="en-US"/>
                              </w:rPr>
                              <w:instrText xml:space="preserve"> SEQ Figure \* ARABIC </w:instrText>
                            </w:r>
                            <w:r>
                              <w:fldChar w:fldCharType="separate"/>
                            </w:r>
                            <w:r>
                              <w:rPr>
                                <w:noProof/>
                                <w:lang w:val="en-US"/>
                              </w:rPr>
                              <w:t>3</w:t>
                            </w:r>
                            <w:r>
                              <w:fldChar w:fldCharType="end"/>
                            </w:r>
                            <w:r w:rsidRPr="00CC7E51">
                              <w:rPr>
                                <w:lang w:val="en-US"/>
                              </w:rPr>
                              <w:t xml:space="preserve"> </w:t>
                            </w:r>
                            <w:r>
                              <w:rPr>
                                <w:lang w:val="en-US"/>
                              </w:rPr>
                              <w:t xml:space="preserve">An example where </w:t>
                            </w:r>
                            <w:r w:rsidRPr="00CC7E51">
                              <w:rPr>
                                <w:lang w:val="en-US"/>
                              </w:rPr>
                              <w:t>NR Rel.15 is unable to use all OFDM symbols when operating in DSS</w:t>
                            </w:r>
                            <w:r>
                              <w:rPr>
                                <w:lang w:val="en-US"/>
                              </w:rPr>
                              <w:t xml:space="preserve"> due to the lack of PDSCH Type B of length 9 and 10 for 30 kHz SCS.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19555A6" id="Text Box 6" o:spid="_x0000_s1028" type="#_x0000_t202" style="position:absolute;left:0;text-align:left;margin-left:429.85pt;margin-top:191.75pt;width:481.05pt;height:.05pt;z-index:2516582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" stroked="f">
                <v:textbox style="mso-fit-shape-to-text:t" inset="0,0,0,0">
                  <w:txbxContent>
                    <w:p w14:paraId="04028731" w14:textId="239CC804" w:rsidR="00AA50E5" w:rsidRPr="00CC7E51" w:rsidRDefault="00AA50E5" w:rsidP="00241AAD">
                      <w:pPr>
                        <w:pStyle w:val="Caption"/>
                        <w:rPr>
                          <w:lang w:val="en-US" w:eastAsia="zh-CN"/>
                        </w:rPr>
                      </w:pPr>
                      <w:r w:rsidRPr="00CC7E51">
                        <w:rPr>
                          <w:lang w:val="en-US"/>
                        </w:rPr>
                        <w:t xml:space="preserve">Figure </w:t>
                      </w:r>
                      <w:r>
                        <w:fldChar w:fldCharType="begin"/>
                      </w:r>
                      <w:r w:rsidRPr="00CC7E51">
                        <w:rPr>
                          <w:lang w:val="en-US"/>
                        </w:rPr>
                        <w:instrText xml:space="preserve"> SEQ Figure \* ARABIC </w:instrText>
                      </w:r>
                      <w:r>
                        <w:fldChar w:fldCharType="separate"/>
                      </w:r>
                      <w:r>
                        <w:rPr>
                          <w:noProof/>
                          <w:lang w:val="en-US"/>
                        </w:rPr>
                        <w:t>3</w:t>
                      </w:r>
                      <w:r>
                        <w:fldChar w:fldCharType="end"/>
                      </w:r>
                      <w:r w:rsidRPr="00CC7E51">
                        <w:rPr>
                          <w:lang w:val="en-US"/>
                        </w:rPr>
                        <w:t xml:space="preserve"> </w:t>
                      </w:r>
                      <w:r>
                        <w:rPr>
                          <w:lang w:val="en-US"/>
                        </w:rPr>
                        <w:t xml:space="preserve">An example where </w:t>
                      </w:r>
                      <w:r w:rsidRPr="00CC7E51">
                        <w:rPr>
                          <w:lang w:val="en-US"/>
                        </w:rPr>
                        <w:t>NR Rel.15 is unable to use all OFDM symbols when operating in DSS</w:t>
                      </w:r>
                      <w:r>
                        <w:rPr>
                          <w:lang w:val="en-US"/>
                        </w:rPr>
                        <w:t xml:space="preserve"> due to the lack of PDSCH Type B of length 9 and 10 for 30 kHz SCS.</w:t>
                      </w:r>
                    </w:p>
                  </w:txbxContent>
                </v:textbox>
                <w10:wrap type="topAndBottom" anchorx="margin"/>
              </v:shape>
            </w:pict>
          </mc:Fallback>
        </mc:AlternateContent>
      </w:r>
      <w:r w:rsidR="00241AAD" w:rsidRPr="00241AAD">
        <w:rPr>
          <w:sz w:val="22"/>
          <w:szCs w:val="22"/>
          <w:lang w:val="en-US" w:eastAsia="zh-CN"/>
        </w:rPr>
        <w:t xml:space="preserve">This proposal fulfills the objective also when used for 30 kHz SCS. In this case, there is an issue with every other slot as they contain the LTE PDCCH. Half of the slots can use Type A scheduling, and there is no issue. But slots containing the LTE PDCCH must use Type B scheduling to utilize all OFDM symbols for NR PDSCH. </w:t>
      </w:r>
    </w:p>
    <w:p w14:paraId="26DB168F" w14:textId="77777777" w:rsidR="00241AAD" w:rsidRPr="00241AAD" w:rsidRDefault="00241AAD" w:rsidP="00241AAD">
      <w:pPr>
        <w:tabs>
          <w:tab w:val="left" w:pos="1701"/>
        </w:tabs>
        <w:overflowPunct/>
        <w:autoSpaceDE/>
        <w:autoSpaceDN/>
        <w:adjustRightInd/>
        <w:spacing w:after="0"/>
        <w:jc w:val="both"/>
        <w:textAlignment w:val="auto"/>
        <w:rPr>
          <w:bCs/>
          <w:sz w:val="22"/>
          <w:szCs w:val="22"/>
          <w:lang w:val="en-US" w:eastAsia="zh-CN"/>
        </w:rPr>
      </w:pPr>
    </w:p>
    <w:p w14:paraId="3DFD2618" w14:textId="77777777" w:rsidR="00241AAD" w:rsidRPr="00241AAD" w:rsidRDefault="00241AAD" w:rsidP="00241AAD">
      <w:p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 xml:space="preserve">In this case, there are two alternatives, either a length 9 Type B is used, and NR PDSCH starts after the NR PDCCH, or a length 10 Type B is used, and NR PDSCH starts in the same symbol as NR PDCCH (outside the CORESET frequency bands).  </w:t>
      </w:r>
    </w:p>
    <w:p w14:paraId="33AB3EC3" w14:textId="77777777" w:rsidR="00241AAD" w:rsidRPr="00241AAD" w:rsidRDefault="00241AAD" w:rsidP="00241AAD">
      <w:pPr>
        <w:tabs>
          <w:tab w:val="left" w:pos="1701"/>
        </w:tabs>
        <w:overflowPunct/>
        <w:autoSpaceDE/>
        <w:autoSpaceDN/>
        <w:adjustRightInd/>
        <w:spacing w:after="0"/>
        <w:textAlignment w:val="auto"/>
        <w:rPr>
          <w:bCs/>
          <w:sz w:val="22"/>
          <w:szCs w:val="22"/>
          <w:lang w:val="en-US" w:eastAsia="zh-CN"/>
        </w:rPr>
      </w:pPr>
    </w:p>
    <w:p w14:paraId="4B9382B9" w14:textId="4621882D" w:rsidR="00241AAD" w:rsidRPr="00241AAD" w:rsidRDefault="00241AAD" w:rsidP="00241AAD">
      <w:pPr>
        <w:keepNext/>
        <w:tabs>
          <w:tab w:val="left" w:pos="1701"/>
        </w:tabs>
        <w:overflowPunct/>
        <w:autoSpaceDE/>
        <w:autoSpaceDN/>
        <w:adjustRightInd/>
        <w:spacing w:after="0"/>
        <w:textAlignment w:val="auto"/>
        <w:rPr>
          <w:rFonts w:ascii="Calibri" w:hAnsi="Calibri" w:cs="Arial"/>
          <w:b/>
          <w:bCs/>
          <w:sz w:val="22"/>
          <w:szCs w:val="22"/>
          <w:lang w:val="sv-SE" w:eastAsia="en-GB"/>
        </w:rPr>
      </w:pPr>
      <w:r w:rsidRPr="00241AAD">
        <w:rPr>
          <w:bCs/>
          <w:sz w:val="22"/>
          <w:szCs w:val="22"/>
          <w:lang w:val="en-US" w:eastAsia="zh-CN"/>
        </w:rPr>
        <w:tab/>
      </w:r>
      <w:r w:rsidRPr="00241AAD">
        <w:rPr>
          <w:bCs/>
          <w:sz w:val="22"/>
          <w:szCs w:val="22"/>
          <w:lang w:val="en-US" w:eastAsia="zh-CN"/>
        </w:rPr>
        <w:drawing>
          <wp:inline distT="0" distB="0" distL="0" distR="0" wp14:anchorId="14B82E92" wp14:editId="78DF50CE">
            <wp:extent cx="5781733" cy="215417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03350" cy="2162231"/>
                    </a:xfrm>
                    <a:prstGeom prst="rect">
                      <a:avLst/>
                    </a:prstGeom>
                    <a:noFill/>
                  </pic:spPr>
                </pic:pic>
              </a:graphicData>
            </a:graphic>
          </wp:inline>
        </w:drawing>
      </w:r>
    </w:p>
    <w:p w14:paraId="750AE2C6" w14:textId="7A470968" w:rsidR="00241AAD" w:rsidRPr="00241AAD" w:rsidRDefault="00241AAD" w:rsidP="00241AAD">
      <w:pPr>
        <w:overflowPunct/>
        <w:autoSpaceDE/>
        <w:autoSpaceDN/>
        <w:adjustRightInd/>
        <w:spacing w:after="240"/>
        <w:textAlignment w:val="auto"/>
        <w:rPr>
          <w:bCs/>
          <w:sz w:val="22"/>
          <w:szCs w:val="22"/>
          <w:lang w:val="en-US" w:eastAsia="zh-CN"/>
        </w:rPr>
      </w:pPr>
      <w:bookmarkStart w:id="10" w:name="_Ref16063297"/>
      <w:r w:rsidRPr="00241AAD">
        <w:rPr>
          <w:rFonts w:ascii="Calibri" w:hAnsi="Calibri" w:cs="Arial"/>
          <w:b/>
          <w:bCs/>
          <w:sz w:val="22"/>
          <w:szCs w:val="22"/>
          <w:lang w:val="en-US" w:eastAsia="en-GB"/>
        </w:rPr>
        <w:t xml:space="preserve">Figure </w:t>
      </w:r>
      <w:r w:rsidRPr="00241AAD">
        <w:rPr>
          <w:rFonts w:ascii="Calibri" w:hAnsi="Calibri" w:cs="Arial"/>
          <w:b/>
          <w:bCs/>
          <w:sz w:val="22"/>
          <w:szCs w:val="22"/>
          <w:lang w:val="sv-SE" w:eastAsia="en-GB"/>
        </w:rPr>
        <w:fldChar w:fldCharType="begin"/>
      </w:r>
      <w:r w:rsidRPr="00241AAD">
        <w:rPr>
          <w:rFonts w:ascii="Calibri" w:hAnsi="Calibri" w:cs="Arial"/>
          <w:b/>
          <w:bCs/>
          <w:sz w:val="22"/>
          <w:szCs w:val="22"/>
          <w:lang w:val="en-US" w:eastAsia="en-GB"/>
        </w:rPr>
        <w:instrText xml:space="preserve"> SEQ Figure \* ARABIC </w:instrText>
      </w:r>
      <w:r w:rsidRPr="00241AAD">
        <w:rPr>
          <w:rFonts w:ascii="Calibri" w:hAnsi="Calibri" w:cs="Arial"/>
          <w:b/>
          <w:bCs/>
          <w:sz w:val="22"/>
          <w:szCs w:val="22"/>
          <w:lang w:val="sv-SE" w:eastAsia="en-GB"/>
        </w:rPr>
        <w:fldChar w:fldCharType="separate"/>
      </w:r>
      <w:r w:rsidR="00431AC5">
        <w:rPr>
          <w:rFonts w:ascii="Calibri" w:hAnsi="Calibri" w:cs="Arial"/>
          <w:b/>
          <w:bCs/>
          <w:sz w:val="22"/>
          <w:szCs w:val="22"/>
          <w:lang w:val="en-US" w:eastAsia="en-GB"/>
        </w:rPr>
        <w:t>4</w:t>
      </w:r>
      <w:r w:rsidRPr="00241AAD">
        <w:rPr>
          <w:rFonts w:ascii="Calibri" w:hAnsi="Calibri" w:cs="Arial"/>
          <w:b/>
          <w:bCs/>
          <w:sz w:val="22"/>
          <w:szCs w:val="22"/>
          <w:lang w:val="sv-SE" w:eastAsia="en-GB"/>
        </w:rPr>
        <w:fldChar w:fldCharType="end"/>
      </w:r>
      <w:bookmarkEnd w:id="10"/>
      <w:r w:rsidRPr="00241AAD">
        <w:rPr>
          <w:rFonts w:ascii="Calibri" w:hAnsi="Calibri" w:cs="Arial"/>
          <w:b/>
          <w:bCs/>
          <w:sz w:val="22"/>
          <w:szCs w:val="22"/>
          <w:lang w:val="en-US" w:eastAsia="en-GB"/>
        </w:rPr>
        <w:t xml:space="preserve"> The introduced length 9 and 10 Type B PDSCH with DMRS in symbol </w:t>
      </w:r>
      <m:oMath>
        <m:d>
          <m:dPr>
            <m:ctrlPr>
              <w:rPr>
                <w:rFonts w:ascii="Cambria Math" w:hAnsi="Cambria Math"/>
                <w:b/>
                <w:bCs/>
                <w:i/>
                <w:sz w:val="22"/>
                <w:szCs w:val="22"/>
                <w:lang w:val="en-US" w:eastAsia="zh-CN"/>
              </w:rPr>
            </m:ctrlPr>
          </m:dPr>
          <m:e>
            <m:sSub>
              <m:sSubPr>
                <m:ctrlPr>
                  <w:rPr>
                    <w:rFonts w:ascii="Cambria Math" w:hAnsi="Cambria Math"/>
                    <w:b/>
                    <w:bCs/>
                    <w:i/>
                    <w:sz w:val="22"/>
                    <w:szCs w:val="22"/>
                    <w:lang w:val="en-US" w:eastAsia="zh-CN"/>
                  </w:rPr>
                </m:ctrlPr>
              </m:sSubPr>
              <m:e>
                <m:r>
                  <m:rPr>
                    <m:sty m:val="bi"/>
                  </m:rPr>
                  <w:rPr>
                    <w:rFonts w:ascii="Cambria Math" w:hAnsi="Cambria Math"/>
                    <w:sz w:val="22"/>
                    <w:szCs w:val="22"/>
                    <w:lang w:val="en-US" w:eastAsia="zh-CN"/>
                  </w:rPr>
                  <m:t>l</m:t>
                </m:r>
              </m:e>
              <m:sub>
                <m:r>
                  <m:rPr>
                    <m:sty m:val="bi"/>
                  </m:rPr>
                  <w:rPr>
                    <w:rFonts w:ascii="Cambria Math" w:hAnsi="Cambria Math"/>
                    <w:sz w:val="22"/>
                    <w:szCs w:val="22"/>
                    <w:lang w:val="en-US" w:eastAsia="zh-CN"/>
                  </w:rPr>
                  <m:t>0</m:t>
                </m:r>
              </m:sub>
            </m:sSub>
            <m:r>
              <m:rPr>
                <m:sty m:val="bi"/>
              </m:rPr>
              <w:rPr>
                <w:rFonts w:ascii="Cambria Math" w:hAnsi="Cambria Math"/>
                <w:sz w:val="22"/>
                <w:szCs w:val="22"/>
                <w:lang w:val="en-US" w:eastAsia="zh-CN"/>
              </w:rPr>
              <m:t>,7</m:t>
            </m:r>
          </m:e>
        </m:d>
      </m:oMath>
      <w:r w:rsidRPr="00241AAD">
        <w:rPr>
          <w:rFonts w:ascii="Calibri" w:hAnsi="Calibri" w:cs="Arial"/>
          <w:b/>
          <w:bCs/>
          <w:sz w:val="22"/>
          <w:szCs w:val="22"/>
          <w:lang w:val="en-US" w:eastAsia="zh-CN"/>
        </w:rPr>
        <w:t xml:space="preserve"> fulfills the objective of TEI-16 </w:t>
      </w:r>
      <w:r w:rsidR="00224940">
        <w:rPr>
          <w:rFonts w:ascii="Calibri" w:hAnsi="Calibri" w:cs="Arial"/>
          <w:b/>
          <w:bCs/>
          <w:sz w:val="22"/>
          <w:szCs w:val="22"/>
          <w:lang w:val="en-US" w:eastAsia="zh-CN"/>
        </w:rPr>
        <w:t xml:space="preserve">DSS </w:t>
      </w:r>
      <w:r w:rsidRPr="00241AAD">
        <w:rPr>
          <w:rFonts w:ascii="Calibri" w:hAnsi="Calibri" w:cs="Arial"/>
          <w:b/>
          <w:bCs/>
          <w:sz w:val="22"/>
          <w:szCs w:val="22"/>
          <w:lang w:val="en-US" w:eastAsia="zh-CN"/>
        </w:rPr>
        <w:t xml:space="preserve">enhancement, as there is no </w:t>
      </w:r>
      <w:proofErr w:type="spellStart"/>
      <w:r w:rsidRPr="00241AAD">
        <w:rPr>
          <w:rFonts w:ascii="Calibri" w:hAnsi="Calibri" w:cs="Arial"/>
          <w:b/>
          <w:bCs/>
          <w:sz w:val="22"/>
          <w:szCs w:val="22"/>
          <w:lang w:val="en-US" w:eastAsia="zh-CN"/>
        </w:rPr>
        <w:t>collissions</w:t>
      </w:r>
      <w:proofErr w:type="spellEnd"/>
      <w:r w:rsidRPr="00241AAD">
        <w:rPr>
          <w:rFonts w:ascii="Calibri" w:hAnsi="Calibri" w:cs="Arial"/>
          <w:b/>
          <w:bCs/>
          <w:sz w:val="22"/>
          <w:szCs w:val="22"/>
          <w:lang w:val="en-US" w:eastAsia="zh-CN"/>
        </w:rPr>
        <w:t xml:space="preserve"> between NR DMRS and symbol</w:t>
      </w:r>
      <w:r w:rsidR="00D22F38">
        <w:rPr>
          <w:rFonts w:ascii="Calibri" w:hAnsi="Calibri" w:cs="Arial"/>
          <w:b/>
          <w:bCs/>
          <w:sz w:val="22"/>
          <w:szCs w:val="22"/>
          <w:lang w:val="en-US" w:eastAsia="zh-CN"/>
        </w:rPr>
        <w:t>s</w:t>
      </w:r>
      <w:r w:rsidRPr="00241AAD">
        <w:rPr>
          <w:rFonts w:ascii="Calibri" w:hAnsi="Calibri" w:cs="Arial"/>
          <w:b/>
          <w:bCs/>
          <w:sz w:val="22"/>
          <w:szCs w:val="22"/>
          <w:lang w:val="en-US" w:eastAsia="zh-CN"/>
        </w:rPr>
        <w:t xml:space="preserve"> containing LTE CRS</w:t>
      </w:r>
    </w:p>
    <w:p w14:paraId="3DAAB187" w14:textId="0B0BFC5E" w:rsidR="00241AAD" w:rsidRPr="003738D8" w:rsidRDefault="003738D8" w:rsidP="003738D8">
      <w:pPr>
        <w:pStyle w:val="Heading3"/>
        <w:rPr>
          <w:i/>
          <w:lang w:val="en-US"/>
        </w:rPr>
      </w:pPr>
      <w:r w:rsidRPr="003738D8">
        <w:rPr>
          <w:i/>
          <w:lang w:val="en-US"/>
        </w:rPr>
        <w:t xml:space="preserve">2.1.1 </w:t>
      </w:r>
      <w:r w:rsidR="00241AAD" w:rsidRPr="003738D8">
        <w:rPr>
          <w:i/>
          <w:lang w:val="en-US"/>
        </w:rPr>
        <w:t>Performance of proposed DMRS positions</w:t>
      </w:r>
      <w:r>
        <w:rPr>
          <w:i/>
          <w:lang w:val="en-US"/>
        </w:rPr>
        <w:t xml:space="preserve"> for TEI-16</w:t>
      </w:r>
      <w:r w:rsidR="008F3407" w:rsidRPr="008F3407">
        <w:rPr>
          <w:i/>
          <w:lang w:val="en-US"/>
        </w:rPr>
        <w:t xml:space="preserve"> </w:t>
      </w:r>
      <w:r w:rsidR="008F3407">
        <w:rPr>
          <w:i/>
          <w:lang w:val="en-US"/>
        </w:rPr>
        <w:t>DSS</w:t>
      </w:r>
    </w:p>
    <w:p w14:paraId="58695B96" w14:textId="653C0BBD" w:rsidR="00241AAD" w:rsidRPr="00241AAD" w:rsidRDefault="00241AAD" w:rsidP="00241AAD">
      <w:p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 xml:space="preserve">Evaluations have been performed to </w:t>
      </w:r>
      <w:r w:rsidR="00A67F4F" w:rsidRPr="00241AAD">
        <w:rPr>
          <w:bCs/>
          <w:sz w:val="22"/>
          <w:szCs w:val="22"/>
          <w:lang w:val="en-US" w:eastAsia="zh-CN"/>
        </w:rPr>
        <w:t>assess</w:t>
      </w:r>
      <w:r w:rsidRPr="00241AAD">
        <w:rPr>
          <w:bCs/>
          <w:sz w:val="22"/>
          <w:szCs w:val="22"/>
          <w:lang w:val="en-US" w:eastAsia="zh-CN"/>
        </w:rPr>
        <w:t xml:space="preserve"> whether there would be any issues with the suggested DMRS positions of</w:t>
      </w:r>
      <w:r w:rsidR="0012047F">
        <w:rPr>
          <w:bCs/>
          <w:sz w:val="22"/>
          <w:szCs w:val="22"/>
          <w:lang w:val="en-US" w:eastAsia="zh-CN"/>
        </w:rPr>
        <w:t xml:space="preserve"> </w:t>
      </w:r>
      <w:r w:rsidR="0012047F">
        <w:rPr>
          <w:bCs/>
          <w:sz w:val="22"/>
          <w:szCs w:val="22"/>
          <w:lang w:val="en-US" w:eastAsia="zh-CN"/>
        </w:rPr>
        <w:fldChar w:fldCharType="begin"/>
      </w:r>
      <w:r w:rsidR="0012047F">
        <w:rPr>
          <w:bCs/>
          <w:sz w:val="22"/>
          <w:szCs w:val="22"/>
          <w:lang w:val="en-US" w:eastAsia="zh-CN"/>
        </w:rPr>
        <w:instrText xml:space="preserve"> REF _Ref16685366 \r \h </w:instrText>
      </w:r>
      <w:r w:rsidR="0012047F">
        <w:rPr>
          <w:bCs/>
          <w:sz w:val="22"/>
          <w:szCs w:val="22"/>
          <w:lang w:val="en-US" w:eastAsia="zh-CN"/>
        </w:rPr>
      </w:r>
      <w:r w:rsidR="0012047F">
        <w:rPr>
          <w:bCs/>
          <w:sz w:val="22"/>
          <w:szCs w:val="22"/>
          <w:lang w:val="en-US" w:eastAsia="zh-CN"/>
        </w:rPr>
        <w:fldChar w:fldCharType="separate"/>
      </w:r>
      <w:r w:rsidR="00431AC5">
        <w:rPr>
          <w:bCs/>
          <w:sz w:val="22"/>
          <w:szCs w:val="22"/>
          <w:lang w:val="en-US" w:eastAsia="zh-CN"/>
        </w:rPr>
        <w:t>Observation 1</w:t>
      </w:r>
      <w:r w:rsidR="0012047F">
        <w:rPr>
          <w:bCs/>
          <w:sz w:val="22"/>
          <w:szCs w:val="22"/>
          <w:lang w:val="en-US" w:eastAsia="zh-CN"/>
        </w:rPr>
        <w:fldChar w:fldCharType="end"/>
      </w:r>
      <w:r w:rsidRPr="00241AAD">
        <w:rPr>
          <w:bCs/>
          <w:sz w:val="22"/>
          <w:szCs w:val="22"/>
          <w:lang w:val="en-US" w:eastAsia="zh-CN"/>
        </w:rPr>
        <w:t xml:space="preserve">. In </w:t>
      </w:r>
      <w:r w:rsidRPr="00241AAD">
        <w:rPr>
          <w:bCs/>
          <w:sz w:val="22"/>
          <w:szCs w:val="22"/>
          <w:lang w:val="en-US" w:eastAsia="zh-CN"/>
        </w:rPr>
        <w:fldChar w:fldCharType="begin"/>
      </w:r>
      <w:r w:rsidRPr="00241AAD">
        <w:rPr>
          <w:bCs/>
          <w:sz w:val="22"/>
          <w:szCs w:val="22"/>
          <w:lang w:val="en-US" w:eastAsia="zh-CN"/>
        </w:rPr>
        <w:instrText xml:space="preserve"> REF _Ref16063312 </w:instrText>
      </w:r>
      <w:r w:rsidRPr="00241AAD">
        <w:rPr>
          <w:bCs/>
          <w:sz w:val="22"/>
          <w:szCs w:val="22"/>
          <w:lang w:val="en-US" w:eastAsia="zh-CN"/>
        </w:rPr>
        <w:fldChar w:fldCharType="separate"/>
      </w:r>
      <w:r w:rsidR="00431AC5" w:rsidRPr="00E60366">
        <w:rPr>
          <w:lang w:val="en-US"/>
        </w:rPr>
        <w:t xml:space="preserve">Figure </w:t>
      </w:r>
      <w:r w:rsidR="00431AC5">
        <w:rPr>
          <w:noProof/>
          <w:lang w:val="en-US"/>
        </w:rPr>
        <w:t>5</w:t>
      </w:r>
      <w:r w:rsidRPr="00241AAD">
        <w:rPr>
          <w:bCs/>
          <w:sz w:val="22"/>
          <w:szCs w:val="22"/>
          <w:lang w:val="en-US" w:eastAsia="zh-CN"/>
        </w:rPr>
        <w:fldChar w:fldCharType="end"/>
      </w:r>
      <w:r w:rsidRPr="00241AAD">
        <w:rPr>
          <w:bCs/>
          <w:sz w:val="22"/>
          <w:szCs w:val="22"/>
          <w:lang w:val="en-US" w:eastAsia="zh-CN"/>
        </w:rPr>
        <w:t xml:space="preserve">, </w:t>
      </w:r>
      <w:r w:rsidR="0012047F" w:rsidRPr="00241AAD">
        <w:rPr>
          <w:bCs/>
          <w:sz w:val="22"/>
          <w:szCs w:val="22"/>
          <w:lang w:val="en-US" w:eastAsia="zh-CN"/>
        </w:rPr>
        <w:t>the</w:t>
      </w:r>
      <w:r w:rsidRPr="00241AAD">
        <w:rPr>
          <w:bCs/>
          <w:sz w:val="22"/>
          <w:szCs w:val="22"/>
          <w:lang w:val="en-US" w:eastAsia="zh-CN"/>
        </w:rPr>
        <w:t xml:space="preserve"> performance is unaffected at low UE speed, when changing the position of the second DMRS. For 120 km/h on the other hand, the DMRS position matters and it seems that the proposed </w:t>
      </w:r>
      <m:oMath>
        <m:d>
          <m:dPr>
            <m:ctrlPr>
              <w:rPr>
                <w:rFonts w:ascii="Cambria Math" w:hAnsi="Cambria Math"/>
                <w:b/>
                <w:bCs/>
                <w:i/>
                <w:sz w:val="22"/>
                <w:szCs w:val="22"/>
                <w:lang w:val="en-US" w:eastAsia="zh-CN"/>
              </w:rPr>
            </m:ctrlPr>
          </m:dPr>
          <m:e>
            <m:sSub>
              <m:sSubPr>
                <m:ctrlPr>
                  <w:rPr>
                    <w:rFonts w:ascii="Cambria Math" w:hAnsi="Cambria Math"/>
                    <w:b/>
                    <w:bCs/>
                    <w:i/>
                    <w:sz w:val="22"/>
                    <w:szCs w:val="22"/>
                    <w:lang w:val="en-US" w:eastAsia="zh-CN"/>
                  </w:rPr>
                </m:ctrlPr>
              </m:sSubPr>
              <m:e>
                <m:r>
                  <m:rPr>
                    <m:sty m:val="bi"/>
                  </m:rPr>
                  <w:rPr>
                    <w:rFonts w:ascii="Cambria Math" w:hAnsi="Cambria Math"/>
                    <w:sz w:val="22"/>
                    <w:szCs w:val="22"/>
                    <w:lang w:val="en-US" w:eastAsia="zh-CN"/>
                  </w:rPr>
                  <m:t>l</m:t>
                </m:r>
              </m:e>
              <m:sub>
                <m:r>
                  <m:rPr>
                    <m:sty m:val="bi"/>
                  </m:rPr>
                  <w:rPr>
                    <w:rFonts w:ascii="Cambria Math" w:hAnsi="Cambria Math"/>
                    <w:sz w:val="22"/>
                    <w:szCs w:val="22"/>
                    <w:lang w:val="en-US" w:eastAsia="zh-CN"/>
                  </w:rPr>
                  <m:t>0</m:t>
                </m:r>
              </m:sub>
            </m:sSub>
            <m:r>
              <m:rPr>
                <m:sty m:val="bi"/>
              </m:rPr>
              <w:rPr>
                <w:rFonts w:ascii="Cambria Math" w:hAnsi="Cambria Math"/>
                <w:sz w:val="22"/>
                <w:szCs w:val="22"/>
                <w:lang w:val="en-US" w:eastAsia="zh-CN"/>
              </w:rPr>
              <m:t>,7</m:t>
            </m:r>
          </m:e>
        </m:d>
      </m:oMath>
      <w:r w:rsidRPr="00241AAD">
        <w:rPr>
          <w:b/>
          <w:bCs/>
          <w:sz w:val="22"/>
          <w:szCs w:val="22"/>
          <w:lang w:val="en-US" w:eastAsia="zh-CN"/>
        </w:rPr>
        <w:t xml:space="preserve"> </w:t>
      </w:r>
      <w:r w:rsidRPr="00241AAD">
        <w:rPr>
          <w:bCs/>
          <w:sz w:val="22"/>
          <w:szCs w:val="22"/>
          <w:lang w:val="en-US" w:eastAsia="zh-CN"/>
        </w:rPr>
        <w:t>gives the best throughput performance for both length 9 and length 10 PDSCH.</w:t>
      </w:r>
    </w:p>
    <w:p w14:paraId="5CEB77A3" w14:textId="77777777" w:rsidR="00241AAD" w:rsidRPr="00241AAD" w:rsidRDefault="00241AAD" w:rsidP="00241AAD">
      <w:pPr>
        <w:tabs>
          <w:tab w:val="left" w:pos="1701"/>
        </w:tabs>
        <w:overflowPunct/>
        <w:autoSpaceDE/>
        <w:autoSpaceDN/>
        <w:adjustRightInd/>
        <w:spacing w:after="0"/>
        <w:jc w:val="both"/>
        <w:textAlignment w:val="auto"/>
        <w:rPr>
          <w:bCs/>
          <w:sz w:val="22"/>
          <w:szCs w:val="22"/>
          <w:lang w:val="en-US" w:eastAsia="zh-CN"/>
        </w:rPr>
      </w:pPr>
    </w:p>
    <w:p w14:paraId="50598281" w14:textId="77777777" w:rsidR="00241AAD" w:rsidRPr="00241AAD" w:rsidRDefault="00241AAD" w:rsidP="000B4695">
      <w:pPr>
        <w:pStyle w:val="Observation"/>
        <w:rPr>
          <w:lang w:val="en-US" w:eastAsia="zh-CN"/>
        </w:rPr>
      </w:pPr>
      <w:bookmarkStart w:id="11" w:name="_Toc16886758"/>
      <w:r w:rsidRPr="00241AAD">
        <w:rPr>
          <w:lang w:val="en-US" w:eastAsia="zh-CN"/>
        </w:rPr>
        <w:t xml:space="preserve">The proposed DMRS positions </w:t>
      </w:r>
      <m:oMath>
        <m:d>
          <m:dPr>
            <m:ctrlPr>
              <w:rPr>
                <w:rFonts w:ascii="Cambria Math" w:hAnsi="Cambria Math"/>
                <w:i/>
                <w:lang w:val="en-US" w:eastAsia="zh-CN"/>
              </w:rPr>
            </m:ctrlPr>
          </m:dPr>
          <m:e>
            <m:sSub>
              <m:sSubPr>
                <m:ctrlPr>
                  <w:rPr>
                    <w:rFonts w:ascii="Cambria Math" w:hAnsi="Cambria Math"/>
                    <w:i/>
                    <w:lang w:val="en-US" w:eastAsia="zh-CN"/>
                  </w:rPr>
                </m:ctrlPr>
              </m:sSubPr>
              <m:e>
                <m:r>
                  <m:rPr>
                    <m:sty m:val="bi"/>
                  </m:rPr>
                  <w:rPr>
                    <w:rFonts w:ascii="Cambria Math" w:hAnsi="Cambria Math"/>
                    <w:lang w:val="en-US" w:eastAsia="zh-CN"/>
                  </w:rPr>
                  <m:t>l</m:t>
                </m:r>
              </m:e>
              <m:sub>
                <m:r>
                  <m:rPr>
                    <m:sty m:val="bi"/>
                  </m:rPr>
                  <w:rPr>
                    <w:rFonts w:ascii="Cambria Math" w:hAnsi="Cambria Math"/>
                    <w:lang w:val="en-US" w:eastAsia="zh-CN"/>
                  </w:rPr>
                  <m:t>0</m:t>
                </m:r>
              </m:sub>
            </m:sSub>
            <m:r>
              <m:rPr>
                <m:sty m:val="bi"/>
              </m:rPr>
              <w:rPr>
                <w:rFonts w:ascii="Cambria Math" w:hAnsi="Cambria Math"/>
                <w:lang w:val="en-US" w:eastAsia="zh-CN"/>
              </w:rPr>
              <m:t>,7</m:t>
            </m:r>
          </m:e>
        </m:d>
      </m:oMath>
      <w:r w:rsidRPr="00241AAD">
        <w:rPr>
          <w:lang w:val="en-US" w:eastAsia="zh-CN"/>
        </w:rPr>
        <w:t xml:space="preserve"> is shown by evaluations to have the best throughput performance of all positions, for both PDSCH Type B of length 9 and length 10</w:t>
      </w:r>
      <w:bookmarkEnd w:id="11"/>
    </w:p>
    <w:p w14:paraId="14F063FC" w14:textId="77777777" w:rsidR="00241AAD" w:rsidRPr="00241AAD" w:rsidRDefault="00241AAD" w:rsidP="00241AAD">
      <w:pPr>
        <w:tabs>
          <w:tab w:val="left" w:pos="1701"/>
        </w:tabs>
        <w:overflowPunct/>
        <w:autoSpaceDE/>
        <w:autoSpaceDN/>
        <w:adjustRightInd/>
        <w:spacing w:after="0"/>
        <w:textAlignment w:val="auto"/>
        <w:rPr>
          <w:bCs/>
          <w:sz w:val="22"/>
          <w:szCs w:val="22"/>
          <w:lang w:val="en-US" w:eastAsia="zh-CN"/>
        </w:rPr>
      </w:pPr>
    </w:p>
    <w:p w14:paraId="65387B35" w14:textId="77777777" w:rsidR="00241AAD" w:rsidRPr="00241AAD" w:rsidRDefault="00241AAD" w:rsidP="00241AAD">
      <w:pPr>
        <w:tabs>
          <w:tab w:val="left" w:pos="1701"/>
        </w:tabs>
        <w:overflowPunct/>
        <w:autoSpaceDE/>
        <w:autoSpaceDN/>
        <w:adjustRightInd/>
        <w:spacing w:after="0"/>
        <w:textAlignment w:val="auto"/>
        <w:rPr>
          <w:rFonts w:ascii="Calibri" w:hAnsi="Calibri" w:cs="Arial"/>
          <w:b/>
          <w:bCs/>
          <w:sz w:val="22"/>
          <w:szCs w:val="22"/>
          <w:lang w:val="en-US" w:eastAsia="en-GB"/>
        </w:rPr>
      </w:pPr>
      <w:r w:rsidRPr="00241AAD">
        <w:rPr>
          <w:rFonts w:ascii="Calibri" w:hAnsi="Calibri" w:cs="Arial"/>
          <w:b/>
          <w:bCs/>
          <w:sz w:val="22"/>
          <w:szCs w:val="22"/>
          <w:lang w:val="en-US" w:eastAsia="en-GB"/>
        </w:rPr>
        <w:t> </w:t>
      </w:r>
    </w:p>
    <w:p w14:paraId="42DB9717" w14:textId="77777777" w:rsidR="00241AAD" w:rsidRPr="00241AAD" w:rsidRDefault="00241AAD" w:rsidP="00241AAD">
      <w:pPr>
        <w:tabs>
          <w:tab w:val="left" w:pos="1701"/>
        </w:tabs>
        <w:overflowPunct/>
        <w:autoSpaceDE/>
        <w:autoSpaceDN/>
        <w:adjustRightInd/>
        <w:spacing w:after="0"/>
        <w:textAlignment w:val="auto"/>
        <w:rPr>
          <w:bCs/>
          <w:sz w:val="22"/>
          <w:szCs w:val="22"/>
          <w:lang w:val="en-US" w:eastAsia="zh-CN"/>
        </w:rPr>
      </w:pPr>
    </w:p>
    <w:p w14:paraId="7D402A57" w14:textId="77777777" w:rsidR="00241AAD" w:rsidRPr="00241AAD" w:rsidRDefault="00241AAD" w:rsidP="00241AAD">
      <w:pPr>
        <w:tabs>
          <w:tab w:val="left" w:pos="1701"/>
        </w:tabs>
        <w:overflowPunct/>
        <w:autoSpaceDE/>
        <w:autoSpaceDN/>
        <w:adjustRightInd/>
        <w:spacing w:after="0"/>
        <w:textAlignment w:val="auto"/>
        <w:rPr>
          <w:bCs/>
          <w:sz w:val="22"/>
          <w:szCs w:val="22"/>
          <w:lang w:val="en-US" w:eastAsia="zh-CN"/>
        </w:rPr>
      </w:pPr>
      <w:r w:rsidRPr="00241AAD">
        <w:rPr>
          <w:rFonts w:ascii="Calibri" w:hAnsi="Calibri" w:cs="Arial"/>
          <w:b/>
          <w:bCs/>
          <w:sz w:val="22"/>
          <w:szCs w:val="22"/>
          <w:lang w:val="sv-SE" w:eastAsia="en-GB"/>
        </w:rPr>
        <w:drawing>
          <wp:inline distT="0" distB="0" distL="0" distR="0" wp14:anchorId="2A2BF0C3" wp14:editId="72C0417A">
            <wp:extent cx="2859578" cy="2204443"/>
            <wp:effectExtent l="0" t="0" r="0" b="571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2879462" cy="2219771"/>
                    </a:xfrm>
                    <a:prstGeom prst="rect">
                      <a:avLst/>
                    </a:prstGeom>
                    <a:noFill/>
                    <a:ln>
                      <a:noFill/>
                    </a:ln>
                    <a:extLst>
                      <a:ext uri="{53640926-AAD7-44D8-BBD7-CCE9431645EC}">
                        <a14:shadowObscured xmlns:a14="http://schemas.microsoft.com/office/drawing/2010/main"/>
                      </a:ext>
                    </a:extLst>
                  </pic:spPr>
                </pic:pic>
              </a:graphicData>
            </a:graphic>
          </wp:inline>
        </w:drawing>
      </w:r>
      <w:r w:rsidRPr="00241AAD">
        <w:rPr>
          <w:rFonts w:ascii="Calibri" w:hAnsi="Calibri" w:cs="Arial"/>
          <w:b/>
          <w:bCs/>
          <w:sz w:val="22"/>
          <w:szCs w:val="22"/>
          <w:lang w:val="sv-SE" w:eastAsia="en-GB"/>
        </w:rPr>
        <w:drawing>
          <wp:inline distT="0" distB="0" distL="0" distR="0" wp14:anchorId="549CE0F3" wp14:editId="216EBF64">
            <wp:extent cx="2931881" cy="2197971"/>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76677" cy="2231554"/>
                    </a:xfrm>
                    <a:prstGeom prst="rect">
                      <a:avLst/>
                    </a:prstGeom>
                  </pic:spPr>
                </pic:pic>
              </a:graphicData>
            </a:graphic>
          </wp:inline>
        </w:drawing>
      </w:r>
    </w:p>
    <w:p w14:paraId="21A53568" w14:textId="77777777" w:rsidR="00241AAD" w:rsidRPr="00241AAD" w:rsidRDefault="00241AAD" w:rsidP="00241AAD">
      <w:pPr>
        <w:tabs>
          <w:tab w:val="left" w:pos="1701"/>
        </w:tabs>
        <w:overflowPunct/>
        <w:autoSpaceDE/>
        <w:autoSpaceDN/>
        <w:adjustRightInd/>
        <w:spacing w:after="0"/>
        <w:textAlignment w:val="auto"/>
        <w:rPr>
          <w:bCs/>
          <w:sz w:val="22"/>
          <w:szCs w:val="22"/>
          <w:lang w:val="en-US" w:eastAsia="zh-CN"/>
        </w:rPr>
      </w:pPr>
      <w:r w:rsidRPr="00241AAD">
        <w:rPr>
          <w:rFonts w:ascii="Calibri" w:hAnsi="Calibri" w:cs="Arial"/>
          <w:b/>
          <w:bCs/>
          <w:sz w:val="22"/>
          <w:szCs w:val="22"/>
          <w:lang w:val="sv-SE" w:eastAsia="en-GB"/>
        </w:rPr>
        <mc:AlternateContent>
          <mc:Choice Requires="wps">
            <w:drawing>
              <wp:anchor distT="0" distB="0" distL="114300" distR="114300" simplePos="0" relativeHeight="251658245" behindDoc="0" locked="0" layoutInCell="1" allowOverlap="1" wp14:anchorId="30B1357F" wp14:editId="195E1EA2">
                <wp:simplePos x="0" y="0"/>
                <wp:positionH relativeFrom="margin">
                  <wp:align>left</wp:align>
                </wp:positionH>
                <wp:positionV relativeFrom="paragraph">
                  <wp:posOffset>167005</wp:posOffset>
                </wp:positionV>
                <wp:extent cx="5635625" cy="635"/>
                <wp:effectExtent l="0" t="0" r="3175" b="2540"/>
                <wp:wrapSquare wrapText="bothSides"/>
                <wp:docPr id="10" name="Text Box 10"/>
                <wp:cNvGraphicFramePr/>
                <a:graphic xmlns:a="http://schemas.openxmlformats.org/drawingml/2006/main">
                  <a:graphicData uri="http://schemas.microsoft.com/office/word/2010/wordprocessingShape">
                    <wps:wsp>
                      <wps:cNvSpPr txBox="1"/>
                      <wps:spPr>
                        <a:xfrm>
                          <a:off x="0" y="0"/>
                          <a:ext cx="5635625" cy="635"/>
                        </a:xfrm>
                        <a:prstGeom prst="rect">
                          <a:avLst/>
                        </a:prstGeom>
                        <a:solidFill>
                          <a:prstClr val="white"/>
                        </a:solidFill>
                        <a:ln>
                          <a:noFill/>
                        </a:ln>
                      </wps:spPr>
                      <wps:txbx>
                        <w:txbxContent>
                          <w:p w14:paraId="70091334" w14:textId="40658B5E" w:rsidR="00AA50E5" w:rsidRPr="00E60366" w:rsidRDefault="00AA50E5" w:rsidP="00791B52">
                            <w:pPr>
                              <w:pStyle w:val="Caption"/>
                              <w:jc w:val="center"/>
                              <w:rPr>
                                <w:noProof/>
                                <w:lang w:val="en-US" w:eastAsia="zh-CN"/>
                              </w:rPr>
                            </w:pPr>
                            <w:bookmarkStart w:id="12" w:name="_Ref16063312"/>
                            <w:r w:rsidRPr="00E60366">
                              <w:rPr>
                                <w:lang w:val="en-US"/>
                              </w:rPr>
                              <w:t xml:space="preserve">Figure </w:t>
                            </w:r>
                            <w:r>
                              <w:fldChar w:fldCharType="begin"/>
                            </w:r>
                            <w:r w:rsidRPr="00E60366">
                              <w:rPr>
                                <w:lang w:val="en-US"/>
                              </w:rPr>
                              <w:instrText xml:space="preserve"> SEQ Figure \* ARABIC </w:instrText>
                            </w:r>
                            <w:r>
                              <w:fldChar w:fldCharType="separate"/>
                            </w:r>
                            <w:r>
                              <w:rPr>
                                <w:noProof/>
                                <w:lang w:val="en-US"/>
                              </w:rPr>
                              <w:t>5</w:t>
                            </w:r>
                            <w:r>
                              <w:fldChar w:fldCharType="end"/>
                            </w:r>
                            <w:bookmarkEnd w:id="12"/>
                            <w:r w:rsidRPr="00E60366">
                              <w:rPr>
                                <w:lang w:val="en-US"/>
                              </w:rPr>
                              <w:t xml:space="preserve"> Performance of PDSCH Type B</w:t>
                            </w:r>
                            <w:r>
                              <w:rPr>
                                <w:lang w:val="en-US"/>
                              </w:rPr>
                              <w:t xml:space="preserve"> of length 9 (left) and 10 (right) for various positions of the second DMRS, evaluated at low UE speed (3 km /h). The used SCS was 15 kHz and 30 kHz and the carrier frequency were 2 and 4 GHz for length 9 and 10 respectively.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0B1357F" id="Text Box 10" o:spid="_x0000_s1029" type="#_x0000_t202" style="position:absolute;margin-left:0;margin-top:13.15pt;width:443.75pt;height:.05pt;z-index:251658245;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" stroked="f">
                <v:textbox style="mso-fit-shape-to-text:t" inset="0,0,0,0">
                  <w:txbxContent>
                    <w:p w14:paraId="70091334" w14:textId="40658B5E" w:rsidR="00AA50E5" w:rsidRPr="00E60366" w:rsidRDefault="00AA50E5" w:rsidP="00791B52">
                      <w:pPr>
                        <w:pStyle w:val="Caption"/>
                        <w:jc w:val="center"/>
                        <w:rPr>
                          <w:noProof/>
                          <w:lang w:val="en-US" w:eastAsia="zh-CN"/>
                        </w:rPr>
                      </w:pPr>
                      <w:bookmarkStart w:id="13" w:name="_Ref16063312"/>
                      <w:r w:rsidRPr="00E60366">
                        <w:rPr>
                          <w:lang w:val="en-US"/>
                        </w:rPr>
                        <w:t xml:space="preserve">Figure </w:t>
                      </w:r>
                      <w:r>
                        <w:fldChar w:fldCharType="begin"/>
                      </w:r>
                      <w:r w:rsidRPr="00E60366">
                        <w:rPr>
                          <w:lang w:val="en-US"/>
                        </w:rPr>
                        <w:instrText xml:space="preserve"> SEQ Figure \* ARABIC </w:instrText>
                      </w:r>
                      <w:r>
                        <w:fldChar w:fldCharType="separate"/>
                      </w:r>
                      <w:r>
                        <w:rPr>
                          <w:noProof/>
                          <w:lang w:val="en-US"/>
                        </w:rPr>
                        <w:t>5</w:t>
                      </w:r>
                      <w:r>
                        <w:fldChar w:fldCharType="end"/>
                      </w:r>
                      <w:bookmarkEnd w:id="13"/>
                      <w:r w:rsidRPr="00E60366">
                        <w:rPr>
                          <w:lang w:val="en-US"/>
                        </w:rPr>
                        <w:t xml:space="preserve"> Performance of PDSCH Type B</w:t>
                      </w:r>
                      <w:r>
                        <w:rPr>
                          <w:lang w:val="en-US"/>
                        </w:rPr>
                        <w:t xml:space="preserve"> of length 9 (left) and 10 (right) for various positions of the second DMRS, evaluated at low UE speed (3 km /h). The used SCS was 15 kHz and 30 kHz and the carrier frequency were 2 and 4 GHz for length 9 and 10 respectively.</w:t>
                      </w:r>
                    </w:p>
                  </w:txbxContent>
                </v:textbox>
                <w10:wrap type="square" anchorx="margin"/>
              </v:shape>
            </w:pict>
          </mc:Fallback>
        </mc:AlternateContent>
      </w:r>
    </w:p>
    <w:p w14:paraId="59FE9C8A" w14:textId="77777777" w:rsidR="00241AAD" w:rsidRPr="00241AAD" w:rsidRDefault="00241AAD" w:rsidP="00241AAD">
      <w:pPr>
        <w:tabs>
          <w:tab w:val="left" w:pos="1701"/>
        </w:tabs>
        <w:overflowPunct/>
        <w:autoSpaceDE/>
        <w:autoSpaceDN/>
        <w:adjustRightInd/>
        <w:spacing w:after="0"/>
        <w:textAlignment w:val="auto"/>
        <w:rPr>
          <w:bCs/>
          <w:sz w:val="22"/>
          <w:szCs w:val="22"/>
          <w:lang w:val="en-US" w:eastAsia="zh-CN"/>
        </w:rPr>
      </w:pPr>
    </w:p>
    <w:p w14:paraId="17C83818" w14:textId="77777777" w:rsidR="00241AAD" w:rsidRPr="00241AAD" w:rsidRDefault="00241AAD" w:rsidP="00241AAD">
      <w:pPr>
        <w:tabs>
          <w:tab w:val="left" w:pos="1701"/>
        </w:tabs>
        <w:overflowPunct/>
        <w:autoSpaceDE/>
        <w:autoSpaceDN/>
        <w:adjustRightInd/>
        <w:spacing w:after="0"/>
        <w:textAlignment w:val="auto"/>
        <w:rPr>
          <w:bCs/>
          <w:sz w:val="22"/>
          <w:szCs w:val="22"/>
          <w:lang w:val="en-US" w:eastAsia="zh-CN"/>
        </w:rPr>
      </w:pPr>
    </w:p>
    <w:p w14:paraId="771CC203" w14:textId="77777777" w:rsidR="00241AAD" w:rsidRPr="00241AAD" w:rsidRDefault="00241AAD" w:rsidP="00241AAD">
      <w:pPr>
        <w:keepNext/>
        <w:tabs>
          <w:tab w:val="left" w:pos="1701"/>
        </w:tabs>
        <w:overflowPunct/>
        <w:autoSpaceDE/>
        <w:autoSpaceDN/>
        <w:adjustRightInd/>
        <w:spacing w:after="0"/>
        <w:jc w:val="center"/>
        <w:textAlignment w:val="auto"/>
        <w:rPr>
          <w:rFonts w:ascii="Calibri" w:hAnsi="Calibri" w:cs="Arial"/>
          <w:b/>
          <w:bCs/>
          <w:sz w:val="22"/>
          <w:szCs w:val="22"/>
          <w:lang w:val="sv-SE" w:eastAsia="en-GB"/>
        </w:rPr>
      </w:pPr>
    </w:p>
    <w:p w14:paraId="254BF05E" w14:textId="77777777" w:rsidR="00241AAD" w:rsidRPr="00241AAD" w:rsidRDefault="00241AAD" w:rsidP="00241AAD">
      <w:pPr>
        <w:keepNext/>
        <w:tabs>
          <w:tab w:val="left" w:pos="1701"/>
        </w:tabs>
        <w:overflowPunct/>
        <w:autoSpaceDE/>
        <w:autoSpaceDN/>
        <w:adjustRightInd/>
        <w:spacing w:after="0"/>
        <w:jc w:val="center"/>
        <w:textAlignment w:val="auto"/>
        <w:rPr>
          <w:rFonts w:ascii="Calibri" w:hAnsi="Calibri" w:cs="Arial"/>
          <w:b/>
          <w:bCs/>
          <w:sz w:val="22"/>
          <w:szCs w:val="22"/>
          <w:lang w:val="sv-SE" w:eastAsia="en-GB"/>
        </w:rPr>
      </w:pPr>
      <w:r w:rsidRPr="00241AAD">
        <w:rPr>
          <w:rFonts w:ascii="Calibri" w:hAnsi="Calibri" w:cs="Arial"/>
          <w:b/>
          <w:bCs/>
          <w:sz w:val="22"/>
          <w:szCs w:val="22"/>
          <w:lang w:val="sv-SE" w:eastAsia="en-GB"/>
        </w:rPr>
        <w:drawing>
          <wp:inline distT="0" distB="0" distL="0" distR="0" wp14:anchorId="4AC9E9FE" wp14:editId="3F229781">
            <wp:extent cx="3790604" cy="2873243"/>
            <wp:effectExtent l="0" t="0" r="635" b="381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3812983" cy="2890206"/>
                    </a:xfrm>
                    <a:prstGeom prst="rect">
                      <a:avLst/>
                    </a:prstGeom>
                    <a:noFill/>
                    <a:ln>
                      <a:noFill/>
                    </a:ln>
                    <a:extLst>
                      <a:ext uri="{53640926-AAD7-44D8-BBD7-CCE9431645EC}">
                        <a14:shadowObscured xmlns:a14="http://schemas.microsoft.com/office/drawing/2010/main"/>
                      </a:ext>
                    </a:extLst>
                  </pic:spPr>
                </pic:pic>
              </a:graphicData>
            </a:graphic>
          </wp:inline>
        </w:drawing>
      </w:r>
    </w:p>
    <w:p w14:paraId="6D51029D" w14:textId="77777777" w:rsidR="00241AAD" w:rsidRPr="00241AAD" w:rsidRDefault="00241AAD" w:rsidP="00241AAD">
      <w:pPr>
        <w:keepNext/>
        <w:tabs>
          <w:tab w:val="left" w:pos="1701"/>
        </w:tabs>
        <w:overflowPunct/>
        <w:autoSpaceDE/>
        <w:autoSpaceDN/>
        <w:adjustRightInd/>
        <w:spacing w:after="0"/>
        <w:jc w:val="center"/>
        <w:textAlignment w:val="auto"/>
        <w:rPr>
          <w:rFonts w:ascii="Calibri" w:hAnsi="Calibri" w:cs="Arial"/>
          <w:b/>
          <w:bCs/>
          <w:sz w:val="22"/>
          <w:szCs w:val="22"/>
          <w:lang w:val="sv-SE" w:eastAsia="en-GB"/>
        </w:rPr>
      </w:pPr>
    </w:p>
    <w:p w14:paraId="02154E88" w14:textId="53DD12C2" w:rsidR="00241AAD" w:rsidRPr="00241AAD" w:rsidRDefault="00241AAD" w:rsidP="00791B52">
      <w:pPr>
        <w:overflowPunct/>
        <w:autoSpaceDE/>
        <w:autoSpaceDN/>
        <w:adjustRightInd/>
        <w:spacing w:after="240"/>
        <w:jc w:val="center"/>
        <w:textAlignment w:val="auto"/>
        <w:rPr>
          <w:bCs/>
          <w:sz w:val="22"/>
          <w:szCs w:val="22"/>
          <w:lang w:val="en-US" w:eastAsia="zh-CN"/>
        </w:rPr>
      </w:pPr>
      <w:r w:rsidRPr="00241AAD">
        <w:rPr>
          <w:rFonts w:ascii="Calibri" w:hAnsi="Calibri" w:cs="Arial"/>
          <w:b/>
          <w:bCs/>
          <w:sz w:val="22"/>
          <w:szCs w:val="22"/>
          <w:lang w:val="en-US" w:eastAsia="en-GB"/>
        </w:rPr>
        <w:t xml:space="preserve">Figure </w:t>
      </w:r>
      <w:r w:rsidRPr="00241AAD">
        <w:rPr>
          <w:rFonts w:ascii="Calibri" w:hAnsi="Calibri" w:cs="Arial"/>
          <w:b/>
          <w:bCs/>
          <w:sz w:val="22"/>
          <w:szCs w:val="22"/>
          <w:lang w:val="sv-SE" w:eastAsia="en-GB"/>
        </w:rPr>
        <w:fldChar w:fldCharType="begin"/>
      </w:r>
      <w:r w:rsidRPr="00241AAD">
        <w:rPr>
          <w:rFonts w:ascii="Calibri" w:hAnsi="Calibri" w:cs="Arial"/>
          <w:b/>
          <w:bCs/>
          <w:sz w:val="22"/>
          <w:szCs w:val="22"/>
          <w:lang w:val="en-US" w:eastAsia="en-GB"/>
        </w:rPr>
        <w:instrText xml:space="preserve"> SEQ Figure \* ARABIC </w:instrText>
      </w:r>
      <w:r w:rsidRPr="00241AAD">
        <w:rPr>
          <w:rFonts w:ascii="Calibri" w:hAnsi="Calibri" w:cs="Arial"/>
          <w:b/>
          <w:bCs/>
          <w:sz w:val="22"/>
          <w:szCs w:val="22"/>
          <w:lang w:val="sv-SE" w:eastAsia="en-GB"/>
        </w:rPr>
        <w:fldChar w:fldCharType="separate"/>
      </w:r>
      <w:r w:rsidR="00431AC5">
        <w:rPr>
          <w:rFonts w:ascii="Calibri" w:hAnsi="Calibri" w:cs="Arial"/>
          <w:b/>
          <w:bCs/>
          <w:sz w:val="22"/>
          <w:szCs w:val="22"/>
          <w:lang w:val="en-US" w:eastAsia="en-GB"/>
        </w:rPr>
        <w:t>6</w:t>
      </w:r>
      <w:r w:rsidRPr="00241AAD">
        <w:rPr>
          <w:rFonts w:ascii="Calibri" w:hAnsi="Calibri" w:cs="Arial"/>
          <w:b/>
          <w:bCs/>
          <w:sz w:val="22"/>
          <w:szCs w:val="22"/>
          <w:lang w:val="sv-SE" w:eastAsia="en-GB"/>
        </w:rPr>
        <w:fldChar w:fldCharType="end"/>
      </w:r>
      <w:r w:rsidRPr="00241AAD">
        <w:rPr>
          <w:rFonts w:ascii="Calibri" w:hAnsi="Calibri" w:cs="Arial"/>
          <w:b/>
          <w:bCs/>
          <w:sz w:val="22"/>
          <w:szCs w:val="22"/>
          <w:lang w:val="en-US" w:eastAsia="en-GB"/>
        </w:rPr>
        <w:t xml:space="preserve"> Performance of PDSCH Type B of length 9 for various positions of the second DMRS, evaluated at higher UE speed (120 km/h), 2 GHz and 15 kHz SCS. 300, 300 ns delay spread.</w:t>
      </w:r>
    </w:p>
    <w:p w14:paraId="067273CD" w14:textId="77777777" w:rsidR="00241AAD" w:rsidRPr="00241AAD" w:rsidRDefault="00241AAD" w:rsidP="00241AAD">
      <w:pPr>
        <w:tabs>
          <w:tab w:val="left" w:pos="1701"/>
        </w:tabs>
        <w:overflowPunct/>
        <w:autoSpaceDE/>
        <w:autoSpaceDN/>
        <w:adjustRightInd/>
        <w:spacing w:after="0"/>
        <w:textAlignment w:val="auto"/>
        <w:rPr>
          <w:bCs/>
          <w:sz w:val="22"/>
          <w:szCs w:val="22"/>
          <w:lang w:val="en-US" w:eastAsia="zh-CN"/>
        </w:rPr>
      </w:pPr>
    </w:p>
    <w:p w14:paraId="6FD14262" w14:textId="77777777" w:rsidR="00241AAD" w:rsidRPr="00241AAD" w:rsidRDefault="00241AAD" w:rsidP="00241AAD">
      <w:pPr>
        <w:keepNext/>
        <w:tabs>
          <w:tab w:val="left" w:pos="1701"/>
        </w:tabs>
        <w:overflowPunct/>
        <w:autoSpaceDE/>
        <w:autoSpaceDN/>
        <w:adjustRightInd/>
        <w:spacing w:after="0"/>
        <w:jc w:val="center"/>
        <w:textAlignment w:val="auto"/>
        <w:rPr>
          <w:rFonts w:ascii="Calibri" w:hAnsi="Calibri" w:cs="Arial"/>
          <w:b/>
          <w:bCs/>
          <w:sz w:val="22"/>
          <w:szCs w:val="22"/>
          <w:lang w:val="sv-SE" w:eastAsia="en-GB"/>
        </w:rPr>
      </w:pPr>
      <w:r w:rsidRPr="00241AAD">
        <w:rPr>
          <w:rFonts w:ascii="Calibri" w:hAnsi="Calibri" w:cs="Arial"/>
          <w:b/>
          <w:bCs/>
          <w:sz w:val="22"/>
          <w:szCs w:val="22"/>
          <w:lang w:val="sv-SE" w:eastAsia="en-GB"/>
        </w:rPr>
        <w:drawing>
          <wp:inline distT="0" distB="0" distL="0" distR="0" wp14:anchorId="2D1B0EB9" wp14:editId="0210A767">
            <wp:extent cx="4137390" cy="30327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47096" cy="3039875"/>
                    </a:xfrm>
                    <a:prstGeom prst="rect">
                      <a:avLst/>
                    </a:prstGeom>
                  </pic:spPr>
                </pic:pic>
              </a:graphicData>
            </a:graphic>
          </wp:inline>
        </w:drawing>
      </w:r>
    </w:p>
    <w:p w14:paraId="2F6C973C" w14:textId="7C8AF473" w:rsidR="00241AAD" w:rsidRPr="00241AAD" w:rsidRDefault="00241AAD" w:rsidP="00CA5975">
      <w:pPr>
        <w:overflowPunct/>
        <w:autoSpaceDE/>
        <w:autoSpaceDN/>
        <w:adjustRightInd/>
        <w:spacing w:after="240"/>
        <w:jc w:val="center"/>
        <w:textAlignment w:val="auto"/>
        <w:rPr>
          <w:rFonts w:ascii="Calibri" w:hAnsi="Calibri" w:cs="Arial"/>
          <w:sz w:val="22"/>
          <w:szCs w:val="22"/>
          <w:lang w:val="en-US" w:eastAsia="en-GB"/>
        </w:rPr>
      </w:pPr>
      <w:r w:rsidRPr="00241AAD">
        <w:rPr>
          <w:rFonts w:ascii="Calibri" w:hAnsi="Calibri" w:cs="Arial"/>
          <w:b/>
          <w:bCs/>
          <w:sz w:val="22"/>
          <w:szCs w:val="22"/>
          <w:lang w:val="en-US" w:eastAsia="en-GB"/>
        </w:rPr>
        <w:t xml:space="preserve">Figure </w:t>
      </w:r>
      <w:r w:rsidRPr="00241AAD">
        <w:rPr>
          <w:rFonts w:ascii="Calibri" w:hAnsi="Calibri" w:cs="Arial"/>
          <w:b/>
          <w:bCs/>
          <w:sz w:val="22"/>
          <w:szCs w:val="22"/>
          <w:lang w:val="sv-SE" w:eastAsia="en-GB"/>
        </w:rPr>
        <w:fldChar w:fldCharType="begin"/>
      </w:r>
      <w:r w:rsidRPr="00241AAD">
        <w:rPr>
          <w:rFonts w:ascii="Calibri" w:hAnsi="Calibri" w:cs="Arial"/>
          <w:b/>
          <w:bCs/>
          <w:sz w:val="22"/>
          <w:szCs w:val="22"/>
          <w:lang w:val="en-US" w:eastAsia="en-GB"/>
        </w:rPr>
        <w:instrText xml:space="preserve"> SEQ Figure \* ARABIC </w:instrText>
      </w:r>
      <w:r w:rsidRPr="00241AAD">
        <w:rPr>
          <w:rFonts w:ascii="Calibri" w:hAnsi="Calibri" w:cs="Arial"/>
          <w:b/>
          <w:bCs/>
          <w:sz w:val="22"/>
          <w:szCs w:val="22"/>
          <w:lang w:val="sv-SE" w:eastAsia="en-GB"/>
        </w:rPr>
        <w:fldChar w:fldCharType="separate"/>
      </w:r>
      <w:r w:rsidR="00431AC5">
        <w:rPr>
          <w:rFonts w:ascii="Calibri" w:hAnsi="Calibri" w:cs="Arial"/>
          <w:b/>
          <w:bCs/>
          <w:sz w:val="22"/>
          <w:szCs w:val="22"/>
          <w:lang w:val="en-US" w:eastAsia="en-GB"/>
        </w:rPr>
        <w:t>7</w:t>
      </w:r>
      <w:r w:rsidRPr="00241AAD">
        <w:rPr>
          <w:rFonts w:ascii="Calibri" w:hAnsi="Calibri" w:cs="Arial"/>
          <w:b/>
          <w:bCs/>
          <w:sz w:val="22"/>
          <w:szCs w:val="22"/>
          <w:lang w:val="sv-SE" w:eastAsia="en-GB"/>
        </w:rPr>
        <w:fldChar w:fldCharType="end"/>
      </w:r>
      <w:r w:rsidRPr="00241AAD">
        <w:rPr>
          <w:rFonts w:ascii="Calibri" w:hAnsi="Calibri" w:cs="Arial"/>
          <w:b/>
          <w:bCs/>
          <w:sz w:val="22"/>
          <w:szCs w:val="22"/>
          <w:lang w:val="en-US" w:eastAsia="en-GB"/>
        </w:rPr>
        <w:t xml:space="preserve"> Performance of PDSCH Type B of length 10 for various positions of the second DMRS, evaluated at higher UE speed (120 km/h), 4GHz and 30 kHz SCS, 30 ns delay spread</w:t>
      </w:r>
    </w:p>
    <w:p w14:paraId="73F2A080" w14:textId="77777777" w:rsidR="00241AAD" w:rsidRPr="00241AAD" w:rsidRDefault="00241AAD" w:rsidP="008B34D8">
      <w:pPr>
        <w:pStyle w:val="Heading2"/>
        <w:numPr>
          <w:ilvl w:val="1"/>
          <w:numId w:val="17"/>
        </w:numPr>
        <w:rPr>
          <w:lang w:val="en-US"/>
        </w:rPr>
      </w:pPr>
      <w:r w:rsidRPr="00241AAD">
        <w:rPr>
          <w:lang w:val="en-US"/>
        </w:rPr>
        <w:t>Proposal for DMRS patterns for all PDSCH Type B lengths</w:t>
      </w:r>
    </w:p>
    <w:p w14:paraId="758F549A" w14:textId="07C9F18F" w:rsidR="005007AD" w:rsidRDefault="00241AAD" w:rsidP="00241AAD">
      <w:p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 xml:space="preserve">In this section, our proposal for DMRS patterns for all lengths are given, </w:t>
      </w:r>
      <w:proofErr w:type="gramStart"/>
      <w:r w:rsidRPr="00241AAD">
        <w:rPr>
          <w:bCs/>
          <w:sz w:val="22"/>
          <w:szCs w:val="22"/>
          <w:lang w:val="en-US" w:eastAsia="zh-CN"/>
        </w:rPr>
        <w:t>taking into account</w:t>
      </w:r>
      <w:proofErr w:type="gramEnd"/>
      <w:r w:rsidRPr="00241AAD">
        <w:rPr>
          <w:bCs/>
          <w:sz w:val="22"/>
          <w:szCs w:val="22"/>
          <w:lang w:val="en-US" w:eastAsia="zh-CN"/>
        </w:rPr>
        <w:t xml:space="preserve"> the discussion for DSS in the previous subsection. It is observed that for PUSCH, scheduling of length 3 to 1</w:t>
      </w:r>
      <w:r w:rsidR="000D3D98">
        <w:rPr>
          <w:bCs/>
          <w:sz w:val="22"/>
          <w:szCs w:val="22"/>
          <w:lang w:val="en-US" w:eastAsia="zh-CN"/>
        </w:rPr>
        <w:t>3</w:t>
      </w:r>
      <w:r w:rsidRPr="00241AAD">
        <w:rPr>
          <w:bCs/>
          <w:sz w:val="22"/>
          <w:szCs w:val="22"/>
          <w:lang w:val="en-US" w:eastAsia="zh-CN"/>
        </w:rPr>
        <w:t xml:space="preserve"> is already supported and hence, the DMRS patterns used for PUSCH Type B can be reused for those entries where Rel.15 doesn’t already provide entries, except for those cases of length 9 and 10 where Type B can also be used for DSS. </w:t>
      </w:r>
      <w:r w:rsidR="005007AD">
        <w:rPr>
          <w:bCs/>
          <w:sz w:val="22"/>
          <w:szCs w:val="22"/>
          <w:lang w:val="en-US" w:eastAsia="zh-CN"/>
        </w:rPr>
        <w:t xml:space="preserve">It is assumed in the following a DMRS pattern also for length 14 PDSCH Type B although this is still FFS. </w:t>
      </w:r>
    </w:p>
    <w:p w14:paraId="1D1A36E6" w14:textId="77777777" w:rsidR="005007AD" w:rsidRDefault="005007AD" w:rsidP="00241AAD">
      <w:pPr>
        <w:tabs>
          <w:tab w:val="left" w:pos="1701"/>
        </w:tabs>
        <w:overflowPunct/>
        <w:autoSpaceDE/>
        <w:autoSpaceDN/>
        <w:adjustRightInd/>
        <w:spacing w:after="0"/>
        <w:jc w:val="both"/>
        <w:textAlignment w:val="auto"/>
        <w:rPr>
          <w:bCs/>
          <w:sz w:val="22"/>
          <w:szCs w:val="22"/>
          <w:lang w:val="en-US" w:eastAsia="zh-CN"/>
        </w:rPr>
      </w:pPr>
    </w:p>
    <w:p w14:paraId="3E04482F" w14:textId="0337DFA4" w:rsidR="00241AAD" w:rsidRPr="00241AAD" w:rsidRDefault="00241AAD" w:rsidP="00241AAD">
      <w:p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 xml:space="preserve">The principles used for the </w:t>
      </w:r>
      <w:r w:rsidR="004207F5">
        <w:rPr>
          <w:bCs/>
          <w:sz w:val="22"/>
          <w:szCs w:val="22"/>
          <w:lang w:val="en-US" w:eastAsia="zh-CN"/>
        </w:rPr>
        <w:t xml:space="preserve">DM-RS </w:t>
      </w:r>
      <w:r w:rsidR="00E35E71">
        <w:rPr>
          <w:bCs/>
          <w:sz w:val="22"/>
          <w:szCs w:val="22"/>
          <w:lang w:val="en-US" w:eastAsia="zh-CN"/>
        </w:rPr>
        <w:t xml:space="preserve">of the </w:t>
      </w:r>
      <w:r w:rsidR="00CF36FA">
        <w:rPr>
          <w:bCs/>
          <w:sz w:val="22"/>
          <w:szCs w:val="22"/>
          <w:lang w:val="en-US" w:eastAsia="zh-CN"/>
        </w:rPr>
        <w:t>full range of PDSCH</w:t>
      </w:r>
      <w:r w:rsidRPr="00241AAD">
        <w:rPr>
          <w:bCs/>
          <w:sz w:val="22"/>
          <w:szCs w:val="22"/>
          <w:lang w:val="en-US" w:eastAsia="zh-CN"/>
        </w:rPr>
        <w:t xml:space="preserve"> </w:t>
      </w:r>
      <w:r w:rsidR="001A7375">
        <w:rPr>
          <w:bCs/>
          <w:sz w:val="22"/>
          <w:szCs w:val="22"/>
          <w:lang w:val="en-US" w:eastAsia="zh-CN"/>
        </w:rPr>
        <w:t xml:space="preserve">Type B </w:t>
      </w:r>
      <w:r w:rsidRPr="00241AAD">
        <w:rPr>
          <w:bCs/>
          <w:sz w:val="22"/>
          <w:szCs w:val="22"/>
          <w:lang w:val="en-US" w:eastAsia="zh-CN"/>
        </w:rPr>
        <w:t>durations are thus:</w:t>
      </w:r>
    </w:p>
    <w:p w14:paraId="45520C50" w14:textId="77777777" w:rsidR="00241AAD" w:rsidRPr="00241AAD" w:rsidRDefault="00241AAD" w:rsidP="00241AAD">
      <w:pPr>
        <w:tabs>
          <w:tab w:val="left" w:pos="1701"/>
        </w:tabs>
        <w:overflowPunct/>
        <w:autoSpaceDE/>
        <w:autoSpaceDN/>
        <w:adjustRightInd/>
        <w:spacing w:after="0"/>
        <w:jc w:val="both"/>
        <w:textAlignment w:val="auto"/>
        <w:rPr>
          <w:bCs/>
          <w:sz w:val="22"/>
          <w:szCs w:val="22"/>
          <w:lang w:val="en-US" w:eastAsia="zh-CN"/>
        </w:rPr>
      </w:pPr>
    </w:p>
    <w:p w14:paraId="77AF3FB6" w14:textId="77777777" w:rsidR="00241AAD" w:rsidRPr="00241AAD" w:rsidRDefault="00241AAD" w:rsidP="00241AAD">
      <w:pPr>
        <w:numPr>
          <w:ilvl w:val="0"/>
          <w:numId w:val="56"/>
        </w:num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Reuse DMRS positions from PUSCH Type B for the new PDSCH Type B durations except for length 9 and 10 where the DSS use case of TEI-16 governs the DMRS positions</w:t>
      </w:r>
    </w:p>
    <w:p w14:paraId="192C237A" w14:textId="77777777" w:rsidR="00241AAD" w:rsidRPr="00241AAD" w:rsidRDefault="00241AAD" w:rsidP="00241AAD">
      <w:pPr>
        <w:numPr>
          <w:ilvl w:val="0"/>
          <w:numId w:val="56"/>
        </w:num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Reuse DMRS positions from PDSCH Type B with extended CP also for normal CP case, when applicable</w:t>
      </w:r>
    </w:p>
    <w:p w14:paraId="4D59CA9F" w14:textId="77777777" w:rsidR="00241AAD" w:rsidRPr="00241AAD" w:rsidRDefault="00241AAD" w:rsidP="00241AAD">
      <w:pPr>
        <w:numPr>
          <w:ilvl w:val="0"/>
          <w:numId w:val="56"/>
        </w:num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Both single and double symbol DMRS is supported for Type B scheduling of new durations (as they are for the Rel-15 durations)</w:t>
      </w:r>
    </w:p>
    <w:p w14:paraId="08BF24A9" w14:textId="77777777" w:rsidR="00241AAD" w:rsidRPr="00241AAD" w:rsidRDefault="00241AAD" w:rsidP="00241AAD">
      <w:pPr>
        <w:numPr>
          <w:ilvl w:val="0"/>
          <w:numId w:val="56"/>
        </w:num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 xml:space="preserve">There is no need to introduce support for </w:t>
      </w:r>
      <w:proofErr w:type="spellStart"/>
      <w:r w:rsidRPr="00241AAD">
        <w:rPr>
          <w:rFonts w:ascii="Arial" w:eastAsia="Batang" w:hAnsi="Arial" w:cs="Arial"/>
          <w:bCs/>
          <w:i/>
          <w:sz w:val="18"/>
          <w:szCs w:val="22"/>
          <w:lang w:val="en-US" w:eastAsia="en-GB"/>
        </w:rPr>
        <w:t>dmrs-AdditionalPosition</w:t>
      </w:r>
      <w:proofErr w:type="spellEnd"/>
      <w:r w:rsidRPr="00241AAD">
        <w:rPr>
          <w:rFonts w:ascii="Arial" w:eastAsia="Batang" w:hAnsi="Arial" w:cs="Arial"/>
          <w:bCs/>
          <w:i/>
          <w:sz w:val="18"/>
          <w:szCs w:val="22"/>
          <w:lang w:val="en-US" w:eastAsia="en-GB"/>
        </w:rPr>
        <w:t xml:space="preserve">=’pos2’ or ‘pos3’ </w:t>
      </w:r>
      <w:r w:rsidRPr="00241AAD">
        <w:rPr>
          <w:bCs/>
          <w:sz w:val="22"/>
          <w:szCs w:val="22"/>
          <w:lang w:val="en-US" w:eastAsia="zh-CN"/>
        </w:rPr>
        <w:t>cases as they are not supported in Rel.15, hence only design for</w:t>
      </w:r>
      <w:r w:rsidRPr="00241AAD">
        <w:rPr>
          <w:rFonts w:ascii="Arial" w:eastAsia="Batang" w:hAnsi="Arial" w:cs="Arial"/>
          <w:bCs/>
          <w:i/>
          <w:sz w:val="18"/>
          <w:szCs w:val="22"/>
          <w:lang w:val="en-US" w:eastAsia="en-GB"/>
        </w:rPr>
        <w:t xml:space="preserve"> ‘pos0’</w:t>
      </w:r>
      <w:r w:rsidRPr="00241AAD">
        <w:rPr>
          <w:rFonts w:ascii="Arial" w:eastAsia="Batang" w:hAnsi="Arial" w:cs="Arial"/>
          <w:bCs/>
          <w:sz w:val="18"/>
          <w:szCs w:val="22"/>
          <w:lang w:val="en-US" w:eastAsia="en-GB"/>
        </w:rPr>
        <w:t xml:space="preserve"> and</w:t>
      </w:r>
      <w:r w:rsidRPr="00241AAD">
        <w:rPr>
          <w:rFonts w:ascii="Arial" w:eastAsia="Batang" w:hAnsi="Arial" w:cs="Arial"/>
          <w:bCs/>
          <w:i/>
          <w:sz w:val="18"/>
          <w:szCs w:val="22"/>
          <w:lang w:val="en-US" w:eastAsia="en-GB"/>
        </w:rPr>
        <w:t xml:space="preserve"> ‘pos1’ </w:t>
      </w:r>
      <w:r w:rsidRPr="00241AAD">
        <w:rPr>
          <w:bCs/>
          <w:sz w:val="22"/>
          <w:szCs w:val="22"/>
          <w:lang w:val="en-US" w:eastAsia="zh-CN"/>
        </w:rPr>
        <w:t>is needed</w:t>
      </w:r>
    </w:p>
    <w:p w14:paraId="27EE1447" w14:textId="77777777" w:rsidR="00241AAD" w:rsidRPr="00241AAD" w:rsidRDefault="00241AAD" w:rsidP="00241AAD">
      <w:pPr>
        <w:numPr>
          <w:ilvl w:val="0"/>
          <w:numId w:val="56"/>
        </w:num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For duration of 5 symbols and longer, and single-symbol DM-RS, one additional symbol is supported (</w:t>
      </w:r>
      <w:proofErr w:type="spellStart"/>
      <w:r w:rsidRPr="00241AAD">
        <w:rPr>
          <w:rFonts w:ascii="Arial" w:eastAsia="Batang" w:hAnsi="Arial" w:cs="Arial"/>
          <w:bCs/>
          <w:i/>
          <w:sz w:val="18"/>
          <w:szCs w:val="22"/>
          <w:lang w:val="en-US" w:eastAsia="en-GB"/>
        </w:rPr>
        <w:t>dmrs-AdditionalPosition</w:t>
      </w:r>
      <w:proofErr w:type="spellEnd"/>
      <w:r w:rsidRPr="00241AAD">
        <w:rPr>
          <w:rFonts w:ascii="Arial" w:eastAsia="Batang" w:hAnsi="Arial" w:cs="Arial"/>
          <w:bCs/>
          <w:i/>
          <w:sz w:val="18"/>
          <w:szCs w:val="22"/>
          <w:lang w:val="en-US" w:eastAsia="en-GB"/>
        </w:rPr>
        <w:t>=’pos1’)</w:t>
      </w:r>
    </w:p>
    <w:p w14:paraId="738CBA10" w14:textId="77777777" w:rsidR="00241AAD" w:rsidRPr="00241AAD" w:rsidRDefault="00241AAD" w:rsidP="00241AAD">
      <w:pPr>
        <w:numPr>
          <w:ilvl w:val="0"/>
          <w:numId w:val="56"/>
        </w:num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For duration of 8 symbols and longer, and double-symbol DM-RS, one additional DM-RS symbol position is supported (</w:t>
      </w:r>
      <w:proofErr w:type="spellStart"/>
      <w:r w:rsidRPr="00241AAD">
        <w:rPr>
          <w:rFonts w:ascii="Arial" w:eastAsia="Batang" w:hAnsi="Arial" w:cs="Arial"/>
          <w:bCs/>
          <w:i/>
          <w:sz w:val="18"/>
          <w:szCs w:val="22"/>
          <w:lang w:val="en-US" w:eastAsia="en-GB"/>
        </w:rPr>
        <w:t>dmrs-AdditionalPosition</w:t>
      </w:r>
      <w:proofErr w:type="spellEnd"/>
      <w:r w:rsidRPr="00241AAD">
        <w:rPr>
          <w:rFonts w:ascii="Arial" w:eastAsia="Batang" w:hAnsi="Arial" w:cs="Arial"/>
          <w:bCs/>
          <w:i/>
          <w:sz w:val="18"/>
          <w:szCs w:val="22"/>
          <w:lang w:val="en-US" w:eastAsia="en-GB"/>
        </w:rPr>
        <w:t>=’pos1’)</w:t>
      </w:r>
    </w:p>
    <w:p w14:paraId="78CAE295" w14:textId="77777777" w:rsidR="00241AAD" w:rsidRPr="00241AAD" w:rsidRDefault="00241AAD" w:rsidP="00241AAD">
      <w:pPr>
        <w:numPr>
          <w:ilvl w:val="0"/>
          <w:numId w:val="56"/>
        </w:num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For duration of 5 symbols and shorter, with one additional symbol (</w:t>
      </w:r>
      <w:proofErr w:type="spellStart"/>
      <w:r w:rsidRPr="00241AAD">
        <w:rPr>
          <w:rFonts w:ascii="Arial" w:eastAsia="Batang" w:hAnsi="Arial" w:cs="Arial"/>
          <w:bCs/>
          <w:i/>
          <w:sz w:val="18"/>
          <w:szCs w:val="22"/>
          <w:lang w:val="en-US" w:eastAsia="en-GB"/>
        </w:rPr>
        <w:t>dmrs-AdditionalPosition</w:t>
      </w:r>
      <w:proofErr w:type="spellEnd"/>
      <w:r w:rsidRPr="00241AAD">
        <w:rPr>
          <w:rFonts w:ascii="Arial" w:eastAsia="Batang" w:hAnsi="Arial" w:cs="Arial"/>
          <w:bCs/>
          <w:i/>
          <w:sz w:val="18"/>
          <w:szCs w:val="22"/>
          <w:lang w:val="en-US" w:eastAsia="en-GB"/>
        </w:rPr>
        <w:t>=’pos1’)</w:t>
      </w:r>
      <w:r w:rsidRPr="00241AAD">
        <w:rPr>
          <w:rFonts w:ascii="Arial" w:eastAsia="Batang" w:hAnsi="Arial" w:cs="Arial"/>
          <w:b/>
          <w:bCs/>
          <w:i/>
          <w:sz w:val="18"/>
          <w:szCs w:val="22"/>
          <w:lang w:val="en-US" w:eastAsia="en-GB"/>
        </w:rPr>
        <w:t xml:space="preserve">, </w:t>
      </w:r>
      <w:r w:rsidRPr="00241AAD">
        <w:rPr>
          <w:bCs/>
          <w:sz w:val="22"/>
          <w:szCs w:val="22"/>
          <w:lang w:val="en-US" w:eastAsia="zh-CN"/>
        </w:rPr>
        <w:t>double-symbol DM-RS is not supported (as in Rel.15)</w:t>
      </w:r>
    </w:p>
    <w:p w14:paraId="1A636831" w14:textId="6744479E" w:rsidR="00241AAD" w:rsidRPr="00241AAD" w:rsidRDefault="00241AAD" w:rsidP="00241AAD">
      <w:pPr>
        <w:numPr>
          <w:ilvl w:val="0"/>
          <w:numId w:val="56"/>
        </w:num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 xml:space="preserve">Procedures for determining </w:t>
      </w:r>
      <w:r w:rsidR="00D9634F">
        <w:rPr>
          <w:rFonts w:ascii="Arial" w:hAnsi="Arial" w:cs="Arial"/>
          <w:b/>
          <w:bCs/>
          <w:position w:val="-10"/>
          <w:sz w:val="18"/>
          <w:szCs w:val="22"/>
          <w:lang w:val="sv-SE" w:eastAsia="en-GB"/>
        </w:rPr>
        <w:pict w14:anchorId="452C1F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5pt">
            <v:imagedata r:id="rId19" o:title=""/>
          </v:shape>
        </w:pict>
      </w:r>
      <w:r w:rsidRPr="00241AAD">
        <w:rPr>
          <w:rFonts w:ascii="Arial" w:hAnsi="Arial" w:cs="Arial"/>
          <w:b/>
          <w:bCs/>
          <w:sz w:val="18"/>
          <w:szCs w:val="22"/>
          <w:lang w:val="en-US" w:eastAsia="en-GB"/>
        </w:rPr>
        <w:t xml:space="preserve"> </w:t>
      </w:r>
      <w:r w:rsidRPr="00241AAD">
        <w:rPr>
          <w:bCs/>
          <w:sz w:val="22"/>
          <w:szCs w:val="22"/>
          <w:lang w:val="en-US" w:eastAsia="zh-CN"/>
        </w:rPr>
        <w:t>follows Rel.15 principles.</w:t>
      </w:r>
      <w:r w:rsidRPr="00241AAD">
        <w:rPr>
          <w:rFonts w:ascii="Arial" w:hAnsi="Arial" w:cs="Arial"/>
          <w:b/>
          <w:bCs/>
          <w:sz w:val="18"/>
          <w:szCs w:val="22"/>
          <w:lang w:val="en-US" w:eastAsia="en-GB"/>
        </w:rPr>
        <w:t xml:space="preserve"> Note: </w:t>
      </w:r>
      <w:r w:rsidRPr="00241AAD">
        <w:rPr>
          <w:bCs/>
          <w:sz w:val="22"/>
          <w:szCs w:val="22"/>
          <w:lang w:val="en-US" w:eastAsia="zh-CN"/>
        </w:rPr>
        <w:t>There is a need to further discuss extensions of these procedures (outlined in 7.4.1.1.3 of TS 38.211) for the newly introduced durations. It is suggested that these discussions take place after the DMRS positions have been agreed.</w:t>
      </w:r>
    </w:p>
    <w:p w14:paraId="72A0CF3A" w14:textId="77777777" w:rsidR="00241AAD" w:rsidRPr="00241AAD" w:rsidRDefault="00241AAD" w:rsidP="00241AAD">
      <w:pPr>
        <w:tabs>
          <w:tab w:val="left" w:pos="1701"/>
        </w:tabs>
        <w:overflowPunct/>
        <w:autoSpaceDE/>
        <w:autoSpaceDN/>
        <w:adjustRightInd/>
        <w:spacing w:after="0"/>
        <w:jc w:val="both"/>
        <w:textAlignment w:val="auto"/>
        <w:rPr>
          <w:bCs/>
          <w:sz w:val="22"/>
          <w:szCs w:val="22"/>
          <w:lang w:val="en-US" w:eastAsia="zh-CN"/>
        </w:rPr>
      </w:pPr>
    </w:p>
    <w:p w14:paraId="1E3AE373" w14:textId="5F0D7C68" w:rsidR="00241AAD" w:rsidRPr="00241AAD" w:rsidRDefault="00241AAD" w:rsidP="00241AAD">
      <w:pPr>
        <w:tabs>
          <w:tab w:val="left" w:pos="1701"/>
        </w:tabs>
        <w:overflowPunct/>
        <w:autoSpaceDE/>
        <w:autoSpaceDN/>
        <w:adjustRightInd/>
        <w:spacing w:after="0"/>
        <w:jc w:val="both"/>
        <w:textAlignment w:val="auto"/>
        <w:rPr>
          <w:bCs/>
          <w:sz w:val="22"/>
          <w:szCs w:val="22"/>
          <w:lang w:val="en-US" w:eastAsia="zh-CN"/>
        </w:rPr>
      </w:pPr>
      <w:r w:rsidRPr="00241AAD">
        <w:rPr>
          <w:bCs/>
          <w:sz w:val="22"/>
          <w:szCs w:val="22"/>
          <w:lang w:val="en-US" w:eastAsia="zh-CN"/>
        </w:rPr>
        <w:t>Following these principles, we have this proposal (</w:t>
      </w:r>
      <w:r w:rsidR="001D12CE">
        <w:rPr>
          <w:bCs/>
          <w:sz w:val="22"/>
          <w:szCs w:val="22"/>
          <w:lang w:val="en-US" w:eastAsia="zh-CN"/>
        </w:rPr>
        <w:t>note that this proposal</w:t>
      </w:r>
      <w:r w:rsidRPr="00241AAD">
        <w:rPr>
          <w:bCs/>
          <w:sz w:val="22"/>
          <w:szCs w:val="22"/>
          <w:lang w:val="en-US" w:eastAsia="zh-CN"/>
        </w:rPr>
        <w:t xml:space="preserve"> </w:t>
      </w:r>
      <w:r w:rsidR="001D12CE">
        <w:rPr>
          <w:bCs/>
          <w:sz w:val="22"/>
          <w:szCs w:val="22"/>
          <w:lang w:val="en-US" w:eastAsia="zh-CN"/>
        </w:rPr>
        <w:t xml:space="preserve">includes the proposal of </w:t>
      </w:r>
      <w:r w:rsidRPr="00241AAD">
        <w:rPr>
          <w:bCs/>
          <w:sz w:val="22"/>
          <w:szCs w:val="22"/>
          <w:lang w:val="en-US" w:eastAsia="zh-CN"/>
        </w:rPr>
        <w:t xml:space="preserve"> </w:t>
      </w:r>
      <w:r w:rsidRPr="00241AAD">
        <w:rPr>
          <w:bCs/>
          <w:sz w:val="22"/>
          <w:szCs w:val="22"/>
          <w:lang w:val="en-US" w:eastAsia="zh-CN"/>
        </w:rPr>
        <w:fldChar w:fldCharType="begin"/>
      </w:r>
      <w:r w:rsidRPr="00241AAD">
        <w:rPr>
          <w:bCs/>
          <w:sz w:val="22"/>
          <w:szCs w:val="22"/>
          <w:lang w:val="en-US" w:eastAsia="zh-CN"/>
        </w:rPr>
        <w:instrText xml:space="preserve"> REF _Ref16062045 \r </w:instrText>
      </w:r>
      <w:r w:rsidRPr="00241AAD">
        <w:rPr>
          <w:bCs/>
          <w:sz w:val="22"/>
          <w:szCs w:val="22"/>
          <w:lang w:val="en-US" w:eastAsia="zh-CN"/>
        </w:rPr>
        <w:fldChar w:fldCharType="separate"/>
      </w:r>
      <w:r w:rsidR="00431AC5">
        <w:rPr>
          <w:bCs/>
          <w:sz w:val="22"/>
          <w:szCs w:val="22"/>
          <w:lang w:val="en-US" w:eastAsia="zh-CN"/>
        </w:rPr>
        <w:t>Observation 1</w:t>
      </w:r>
      <w:r w:rsidRPr="00241AAD">
        <w:rPr>
          <w:bCs/>
          <w:sz w:val="22"/>
          <w:szCs w:val="22"/>
          <w:lang w:val="en-US" w:eastAsia="zh-CN"/>
        </w:rPr>
        <w:fldChar w:fldCharType="end"/>
      </w:r>
      <w:r w:rsidRPr="00241AAD">
        <w:rPr>
          <w:bCs/>
          <w:sz w:val="22"/>
          <w:szCs w:val="22"/>
          <w:lang w:val="en-US" w:eastAsia="zh-CN"/>
        </w:rPr>
        <w:t>):</w:t>
      </w:r>
    </w:p>
    <w:p w14:paraId="54348486" w14:textId="77777777" w:rsidR="00241AAD" w:rsidRPr="00241AAD" w:rsidRDefault="00241AAD" w:rsidP="00241AAD">
      <w:pPr>
        <w:tabs>
          <w:tab w:val="left" w:pos="1701"/>
        </w:tabs>
        <w:overflowPunct/>
        <w:autoSpaceDE/>
        <w:autoSpaceDN/>
        <w:adjustRightInd/>
        <w:spacing w:after="0"/>
        <w:jc w:val="both"/>
        <w:textAlignment w:val="auto"/>
        <w:rPr>
          <w:bCs/>
          <w:sz w:val="22"/>
          <w:szCs w:val="22"/>
          <w:lang w:val="en-US" w:eastAsia="zh-CN"/>
        </w:rPr>
      </w:pPr>
    </w:p>
    <w:p w14:paraId="7DCCE909" w14:textId="77777777" w:rsidR="00241AAD" w:rsidRPr="00241AAD" w:rsidRDefault="00241AAD" w:rsidP="004C67BF">
      <w:pPr>
        <w:pStyle w:val="Proposal"/>
        <w:rPr>
          <w:lang w:val="en-US"/>
        </w:rPr>
      </w:pPr>
      <w:bookmarkStart w:id="14" w:name="_Toc16886766"/>
      <w:r w:rsidRPr="00241AAD">
        <w:rPr>
          <w:lang w:val="en-US"/>
        </w:rPr>
        <w:t>The PDSCH DM-RS positions for single and double symbol DMRS are given in Table 1 and 2 respectively.</w:t>
      </w:r>
      <w:bookmarkEnd w:id="14"/>
      <w:r w:rsidRPr="00241AAD">
        <w:rPr>
          <w:lang w:val="en-US"/>
        </w:rPr>
        <w:t xml:space="preserve"> </w:t>
      </w:r>
    </w:p>
    <w:p w14:paraId="3914EEBD" w14:textId="77777777" w:rsidR="00241AAD" w:rsidRPr="00241AAD" w:rsidRDefault="00241AAD" w:rsidP="00241AAD">
      <w:pPr>
        <w:tabs>
          <w:tab w:val="left" w:pos="1701"/>
        </w:tabs>
        <w:overflowPunct/>
        <w:autoSpaceDE/>
        <w:autoSpaceDN/>
        <w:adjustRightInd/>
        <w:spacing w:after="0"/>
        <w:jc w:val="both"/>
        <w:textAlignment w:val="auto"/>
        <w:rPr>
          <w:bCs/>
          <w:sz w:val="22"/>
          <w:szCs w:val="22"/>
          <w:lang w:val="en-US" w:eastAsia="zh-CN"/>
        </w:rPr>
      </w:pPr>
    </w:p>
    <w:p w14:paraId="731794DC" w14:textId="4B1548B1" w:rsidR="00241AAD" w:rsidRPr="00241AAD" w:rsidRDefault="002B160B" w:rsidP="002B160B">
      <w:pPr>
        <w:pStyle w:val="Caption"/>
        <w:keepNext/>
        <w:jc w:val="center"/>
        <w:rPr>
          <w:rFonts w:ascii="Calibri" w:hAnsi="Calibri" w:cs="Arial"/>
          <w:b w:val="0"/>
          <w:sz w:val="22"/>
          <w:szCs w:val="22"/>
          <w:lang w:val="en-US" w:eastAsia="en-US"/>
        </w:rPr>
      </w:pPr>
      <w:r>
        <w:t xml:space="preserve">Table </w:t>
      </w:r>
      <w:fldSimple w:instr=" SEQ Table \* ARABIC ">
        <w:r w:rsidR="00431AC5">
          <w:rPr>
            <w:noProof/>
          </w:rPr>
          <w:t>1</w:t>
        </w:r>
      </w:fldSimple>
      <w:r>
        <w:t xml:space="preserve"> </w:t>
      </w:r>
      <w:r w:rsidRPr="002B160B">
        <w:t xml:space="preserve">(from 36.211 Table 7.4.1.1.2-3): PDSCH DM-RS positions   for single-symbol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1"/>
        <w:gridCol w:w="851"/>
        <w:gridCol w:w="851"/>
        <w:gridCol w:w="1004"/>
        <w:gridCol w:w="1134"/>
        <w:gridCol w:w="725"/>
        <w:gridCol w:w="976"/>
        <w:gridCol w:w="709"/>
        <w:gridCol w:w="623"/>
      </w:tblGrid>
      <w:tr w:rsidR="00241AAD" w:rsidRPr="00241AAD" w14:paraId="23D66333" w14:textId="77777777" w:rsidTr="00ED0A01">
        <w:trPr>
          <w:jc w:val="center"/>
        </w:trPr>
        <w:tc>
          <w:tcPr>
            <w:tcW w:w="1121" w:type="dxa"/>
            <w:vMerge w:val="restart"/>
            <w:shd w:val="clear" w:color="auto" w:fill="auto"/>
          </w:tcPr>
          <w:p w14:paraId="6AB6B1B5"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m:oMath>
              <m:sSub>
                <m:sSubPr>
                  <m:ctrlPr>
                    <w:rPr>
                      <w:rFonts w:ascii="Cambria Math" w:hAnsi="Cambria Math" w:cs="Arial"/>
                      <w:i/>
                      <w:sz w:val="22"/>
                      <w:szCs w:val="22"/>
                      <w:lang w:val="sv-SE" w:eastAsia="en-GB"/>
                    </w:rPr>
                  </m:ctrlPr>
                </m:sSubPr>
                <m:e>
                  <m:r>
                    <w:rPr>
                      <w:rFonts w:ascii="Cambria Math" w:hAnsi="Cambria Math" w:cs="Arial"/>
                      <w:sz w:val="22"/>
                      <w:szCs w:val="22"/>
                      <w:lang w:val="sv-SE" w:eastAsia="en-GB"/>
                    </w:rPr>
                    <m:t>l</m:t>
                  </m:r>
                </m:e>
                <m:sub>
                  <m:r>
                    <m:rPr>
                      <m:nor/>
                    </m:rPr>
                    <w:rPr>
                      <w:rFonts w:ascii="Cambria Math" w:hAnsi="Cambria Math" w:cs="Arial"/>
                      <w:sz w:val="22"/>
                      <w:szCs w:val="22"/>
                      <w:lang w:val="sv-SE" w:eastAsia="en-GB"/>
                    </w:rPr>
                    <m:t>d</m:t>
                  </m:r>
                </m:sub>
              </m:sSub>
            </m:oMath>
            <w:r w:rsidR="00241AAD" w:rsidRPr="00241AAD">
              <w:rPr>
                <w:rFonts w:ascii="Arial" w:eastAsia="Batang" w:hAnsi="Arial" w:cs="Arial"/>
                <w:b/>
                <w:sz w:val="18"/>
                <w:szCs w:val="22"/>
                <w:lang w:val="sv-SE" w:eastAsia="en-GB"/>
              </w:rPr>
              <w:t xml:space="preserve"> in symbols</w:t>
            </w:r>
          </w:p>
        </w:tc>
        <w:tc>
          <w:tcPr>
            <w:tcW w:w="6873" w:type="dxa"/>
            <w:gridSpan w:val="8"/>
            <w:tcBorders>
              <w:bottom w:val="nil"/>
            </w:tcBorders>
            <w:shd w:val="clear" w:color="auto" w:fill="auto"/>
            <w:vAlign w:val="bottom"/>
          </w:tcPr>
          <w:p w14:paraId="7DCC5B45"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 xml:space="preserve">DM-RS positions </w:t>
            </w:r>
            <w:r w:rsidR="00D9634F">
              <w:rPr>
                <w:rFonts w:ascii="Arial" w:eastAsia="Batang" w:hAnsi="Arial" w:cs="Arial"/>
                <w:b/>
                <w:position w:val="-6"/>
                <w:sz w:val="18"/>
                <w:szCs w:val="22"/>
                <w:lang w:val="sv-SE" w:eastAsia="en-GB"/>
              </w:rPr>
              <w:pict w14:anchorId="075F3D95">
                <v:shape id="_x0000_i1026" type="#_x0000_t75" style="width:8.25pt;height:15pt">
                  <v:imagedata r:id="rId20" o:title=""/>
                </v:shape>
              </w:pict>
            </w:r>
          </w:p>
        </w:tc>
      </w:tr>
      <w:tr w:rsidR="00241AAD" w:rsidRPr="00241AAD" w14:paraId="7F7F720B" w14:textId="77777777" w:rsidTr="00ED0A01">
        <w:trPr>
          <w:jc w:val="center"/>
        </w:trPr>
        <w:tc>
          <w:tcPr>
            <w:tcW w:w="1121" w:type="dxa"/>
            <w:vMerge/>
            <w:shd w:val="clear" w:color="auto" w:fill="auto"/>
          </w:tcPr>
          <w:p w14:paraId="72A85C30"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p>
        </w:tc>
        <w:tc>
          <w:tcPr>
            <w:tcW w:w="3840" w:type="dxa"/>
            <w:gridSpan w:val="4"/>
            <w:tcBorders>
              <w:top w:val="nil"/>
            </w:tcBorders>
            <w:shd w:val="clear" w:color="auto" w:fill="auto"/>
            <w:vAlign w:val="bottom"/>
          </w:tcPr>
          <w:p w14:paraId="3FE59446"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PDSCH mapping type A</w:t>
            </w:r>
          </w:p>
        </w:tc>
        <w:tc>
          <w:tcPr>
            <w:tcW w:w="3033" w:type="dxa"/>
            <w:gridSpan w:val="4"/>
            <w:tcBorders>
              <w:top w:val="nil"/>
            </w:tcBorders>
            <w:shd w:val="clear" w:color="auto" w:fill="auto"/>
            <w:vAlign w:val="bottom"/>
          </w:tcPr>
          <w:p w14:paraId="65761E90"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PDSCH mapping type B</w:t>
            </w:r>
          </w:p>
        </w:tc>
      </w:tr>
      <w:tr w:rsidR="00241AAD" w:rsidRPr="00241AAD" w14:paraId="7579C9A8" w14:textId="77777777" w:rsidTr="00ED0A01">
        <w:trPr>
          <w:jc w:val="center"/>
        </w:trPr>
        <w:tc>
          <w:tcPr>
            <w:tcW w:w="1121" w:type="dxa"/>
            <w:vMerge/>
            <w:shd w:val="clear" w:color="auto" w:fill="auto"/>
          </w:tcPr>
          <w:p w14:paraId="57471A3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p>
        </w:tc>
        <w:tc>
          <w:tcPr>
            <w:tcW w:w="3840" w:type="dxa"/>
            <w:gridSpan w:val="4"/>
            <w:tcBorders>
              <w:bottom w:val="nil"/>
            </w:tcBorders>
            <w:shd w:val="clear" w:color="auto" w:fill="auto"/>
            <w:vAlign w:val="bottom"/>
          </w:tcPr>
          <w:p w14:paraId="5DC674F1"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r w:rsidRPr="00241AAD">
              <w:rPr>
                <w:rFonts w:ascii="Arial" w:eastAsia="Batang" w:hAnsi="Arial" w:cs="Arial"/>
                <w:b/>
                <w:i/>
                <w:sz w:val="18"/>
                <w:szCs w:val="22"/>
                <w:lang w:val="sv-SE" w:eastAsia="en-GB"/>
              </w:rPr>
              <w:t>dmrs-AdditionalPosition</w:t>
            </w:r>
          </w:p>
        </w:tc>
        <w:tc>
          <w:tcPr>
            <w:tcW w:w="3033" w:type="dxa"/>
            <w:gridSpan w:val="4"/>
            <w:tcBorders>
              <w:bottom w:val="nil"/>
            </w:tcBorders>
            <w:shd w:val="clear" w:color="auto" w:fill="auto"/>
            <w:vAlign w:val="bottom"/>
          </w:tcPr>
          <w:p w14:paraId="21813923"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r w:rsidRPr="00241AAD">
              <w:rPr>
                <w:rFonts w:ascii="Arial" w:eastAsia="Batang" w:hAnsi="Arial" w:cs="Arial"/>
                <w:b/>
                <w:i/>
                <w:sz w:val="18"/>
                <w:szCs w:val="22"/>
                <w:lang w:val="sv-SE" w:eastAsia="en-GB"/>
              </w:rPr>
              <w:t>dmrs-AdditionalPosition</w:t>
            </w:r>
          </w:p>
        </w:tc>
      </w:tr>
      <w:tr w:rsidR="00241AAD" w:rsidRPr="00241AAD" w14:paraId="72521B5A" w14:textId="77777777" w:rsidTr="00ED0A01">
        <w:trPr>
          <w:jc w:val="center"/>
        </w:trPr>
        <w:tc>
          <w:tcPr>
            <w:tcW w:w="1121" w:type="dxa"/>
            <w:vMerge/>
            <w:shd w:val="clear" w:color="auto" w:fill="auto"/>
          </w:tcPr>
          <w:p w14:paraId="5C3A18FB"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p>
        </w:tc>
        <w:tc>
          <w:tcPr>
            <w:tcW w:w="851" w:type="dxa"/>
            <w:tcBorders>
              <w:top w:val="nil"/>
            </w:tcBorders>
            <w:shd w:val="clear" w:color="auto" w:fill="auto"/>
          </w:tcPr>
          <w:p w14:paraId="3BDD4534"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r w:rsidRPr="00241AAD">
              <w:rPr>
                <w:rFonts w:ascii="Arial" w:eastAsia="Batang" w:hAnsi="Arial" w:cs="Arial"/>
                <w:b/>
                <w:i/>
                <w:sz w:val="18"/>
                <w:szCs w:val="22"/>
                <w:lang w:val="sv-SE" w:eastAsia="en-GB"/>
              </w:rPr>
              <w:t>0</w:t>
            </w:r>
          </w:p>
        </w:tc>
        <w:tc>
          <w:tcPr>
            <w:tcW w:w="851" w:type="dxa"/>
            <w:tcBorders>
              <w:top w:val="nil"/>
            </w:tcBorders>
            <w:shd w:val="clear" w:color="auto" w:fill="auto"/>
          </w:tcPr>
          <w:p w14:paraId="32B4A492"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r w:rsidRPr="00241AAD">
              <w:rPr>
                <w:rFonts w:ascii="Arial" w:eastAsia="Batang" w:hAnsi="Arial" w:cs="Arial"/>
                <w:b/>
                <w:i/>
                <w:sz w:val="18"/>
                <w:szCs w:val="22"/>
                <w:lang w:val="sv-SE" w:eastAsia="en-GB"/>
              </w:rPr>
              <w:t>1</w:t>
            </w:r>
          </w:p>
        </w:tc>
        <w:tc>
          <w:tcPr>
            <w:tcW w:w="1004" w:type="dxa"/>
            <w:tcBorders>
              <w:top w:val="nil"/>
            </w:tcBorders>
            <w:shd w:val="clear" w:color="auto" w:fill="auto"/>
          </w:tcPr>
          <w:p w14:paraId="571A5638"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r w:rsidRPr="00241AAD">
              <w:rPr>
                <w:rFonts w:ascii="Arial" w:eastAsia="Batang" w:hAnsi="Arial" w:cs="Arial"/>
                <w:b/>
                <w:i/>
                <w:sz w:val="18"/>
                <w:szCs w:val="22"/>
                <w:lang w:val="sv-SE" w:eastAsia="en-GB"/>
              </w:rPr>
              <w:t>2</w:t>
            </w:r>
          </w:p>
        </w:tc>
        <w:tc>
          <w:tcPr>
            <w:tcW w:w="1134" w:type="dxa"/>
            <w:tcBorders>
              <w:top w:val="nil"/>
            </w:tcBorders>
            <w:shd w:val="clear" w:color="auto" w:fill="auto"/>
          </w:tcPr>
          <w:p w14:paraId="286A92B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r w:rsidRPr="00241AAD">
              <w:rPr>
                <w:rFonts w:ascii="Arial" w:eastAsia="Batang" w:hAnsi="Arial" w:cs="Arial"/>
                <w:b/>
                <w:i/>
                <w:sz w:val="18"/>
                <w:szCs w:val="22"/>
                <w:lang w:val="sv-SE" w:eastAsia="en-GB"/>
              </w:rPr>
              <w:t>3</w:t>
            </w:r>
          </w:p>
        </w:tc>
        <w:tc>
          <w:tcPr>
            <w:tcW w:w="725" w:type="dxa"/>
            <w:tcBorders>
              <w:top w:val="nil"/>
            </w:tcBorders>
            <w:shd w:val="clear" w:color="auto" w:fill="auto"/>
          </w:tcPr>
          <w:p w14:paraId="1B8C21D2"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r w:rsidRPr="00241AAD">
              <w:rPr>
                <w:rFonts w:ascii="Arial" w:eastAsia="Batang" w:hAnsi="Arial" w:cs="Arial"/>
                <w:b/>
                <w:i/>
                <w:sz w:val="18"/>
                <w:szCs w:val="22"/>
                <w:lang w:val="sv-SE" w:eastAsia="en-GB"/>
              </w:rPr>
              <w:t>0</w:t>
            </w:r>
          </w:p>
        </w:tc>
        <w:tc>
          <w:tcPr>
            <w:tcW w:w="976" w:type="dxa"/>
            <w:tcBorders>
              <w:top w:val="nil"/>
            </w:tcBorders>
            <w:shd w:val="clear" w:color="auto" w:fill="auto"/>
          </w:tcPr>
          <w:p w14:paraId="69FA41D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r w:rsidRPr="00241AAD">
              <w:rPr>
                <w:rFonts w:ascii="Arial" w:eastAsia="Batang" w:hAnsi="Arial" w:cs="Arial"/>
                <w:b/>
                <w:i/>
                <w:sz w:val="18"/>
                <w:szCs w:val="22"/>
                <w:lang w:val="sv-SE" w:eastAsia="en-GB"/>
              </w:rPr>
              <w:t>1</w:t>
            </w:r>
          </w:p>
        </w:tc>
        <w:tc>
          <w:tcPr>
            <w:tcW w:w="709" w:type="dxa"/>
            <w:tcBorders>
              <w:top w:val="nil"/>
            </w:tcBorders>
            <w:shd w:val="clear" w:color="auto" w:fill="auto"/>
          </w:tcPr>
          <w:p w14:paraId="40BDAD8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r w:rsidRPr="00241AAD">
              <w:rPr>
                <w:rFonts w:ascii="Arial" w:eastAsia="Batang" w:hAnsi="Arial" w:cs="Arial"/>
                <w:b/>
                <w:i/>
                <w:sz w:val="18"/>
                <w:szCs w:val="22"/>
                <w:lang w:val="sv-SE" w:eastAsia="en-GB"/>
              </w:rPr>
              <w:t>2</w:t>
            </w:r>
          </w:p>
        </w:tc>
        <w:tc>
          <w:tcPr>
            <w:tcW w:w="623" w:type="dxa"/>
            <w:tcBorders>
              <w:top w:val="nil"/>
            </w:tcBorders>
            <w:shd w:val="clear" w:color="auto" w:fill="auto"/>
          </w:tcPr>
          <w:p w14:paraId="47B7D423"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i/>
                <w:sz w:val="18"/>
                <w:szCs w:val="22"/>
                <w:lang w:val="sv-SE" w:eastAsia="en-GB"/>
              </w:rPr>
            </w:pPr>
            <w:r w:rsidRPr="00241AAD">
              <w:rPr>
                <w:rFonts w:ascii="Arial" w:eastAsia="Batang" w:hAnsi="Arial" w:cs="Arial"/>
                <w:b/>
                <w:i/>
                <w:sz w:val="18"/>
                <w:szCs w:val="22"/>
                <w:lang w:val="sv-SE" w:eastAsia="en-GB"/>
              </w:rPr>
              <w:t>3</w:t>
            </w:r>
          </w:p>
        </w:tc>
      </w:tr>
      <w:tr w:rsidR="00241AAD" w:rsidRPr="00241AAD" w14:paraId="68921685" w14:textId="77777777" w:rsidTr="00ED0A01">
        <w:trPr>
          <w:jc w:val="center"/>
        </w:trPr>
        <w:tc>
          <w:tcPr>
            <w:tcW w:w="1121" w:type="dxa"/>
            <w:shd w:val="clear" w:color="auto" w:fill="auto"/>
          </w:tcPr>
          <w:p w14:paraId="52F04754"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2</w:t>
            </w:r>
          </w:p>
        </w:tc>
        <w:tc>
          <w:tcPr>
            <w:tcW w:w="851" w:type="dxa"/>
            <w:shd w:val="clear" w:color="auto" w:fill="auto"/>
          </w:tcPr>
          <w:p w14:paraId="66ED3043" w14:textId="77777777" w:rsidR="00241AAD" w:rsidRPr="00241AAD" w:rsidRDefault="00241AAD" w:rsidP="00241AAD">
            <w:pPr>
              <w:keepNext/>
              <w:keepLines/>
              <w:overflowPunct/>
              <w:autoSpaceDE/>
              <w:autoSpaceDN/>
              <w:adjustRightInd/>
              <w:spacing w:after="0"/>
              <w:jc w:val="center"/>
              <w:textAlignment w:val="auto"/>
              <w:rPr>
                <w:rFonts w:ascii="Arial" w:hAnsi="Arial" w:cs="Arial"/>
                <w:sz w:val="18"/>
                <w:szCs w:val="22"/>
                <w:lang w:val="sv-SE" w:eastAsia="en-GB"/>
              </w:rPr>
            </w:pPr>
            <w:r w:rsidRPr="00241AAD">
              <w:rPr>
                <w:rFonts w:ascii="Arial" w:hAnsi="Arial" w:cs="Arial"/>
                <w:sz w:val="18"/>
                <w:szCs w:val="22"/>
                <w:lang w:val="sv-SE" w:eastAsia="en-GB"/>
              </w:rPr>
              <w:t>-</w:t>
            </w:r>
          </w:p>
        </w:tc>
        <w:tc>
          <w:tcPr>
            <w:tcW w:w="851" w:type="dxa"/>
            <w:shd w:val="clear" w:color="auto" w:fill="auto"/>
          </w:tcPr>
          <w:p w14:paraId="346176DF"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w:t>
            </w:r>
          </w:p>
        </w:tc>
        <w:tc>
          <w:tcPr>
            <w:tcW w:w="1004" w:type="dxa"/>
            <w:shd w:val="clear" w:color="auto" w:fill="auto"/>
          </w:tcPr>
          <w:p w14:paraId="1A1A1E82"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w:t>
            </w:r>
          </w:p>
        </w:tc>
        <w:tc>
          <w:tcPr>
            <w:tcW w:w="1134" w:type="dxa"/>
            <w:shd w:val="clear" w:color="auto" w:fill="auto"/>
          </w:tcPr>
          <w:p w14:paraId="77111E5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w:t>
            </w:r>
          </w:p>
        </w:tc>
        <w:tc>
          <w:tcPr>
            <w:tcW w:w="725" w:type="dxa"/>
            <w:shd w:val="clear" w:color="auto" w:fill="auto"/>
          </w:tcPr>
          <w:p w14:paraId="66C6DE61"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6BCA4103">
                <v:shape id="_x0000_i1027" type="#_x0000_t75" style="width:9.75pt;height:15pt">
                  <v:imagedata r:id="rId19" o:title=""/>
                </v:shape>
              </w:pict>
            </w:r>
          </w:p>
        </w:tc>
        <w:tc>
          <w:tcPr>
            <w:tcW w:w="976" w:type="dxa"/>
            <w:shd w:val="clear" w:color="auto" w:fill="auto"/>
          </w:tcPr>
          <w:p w14:paraId="764E0E2B"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492CFFA8">
                <v:shape id="_x0000_i1028" type="#_x0000_t75" style="width:9.75pt;height:15pt">
                  <v:imagedata r:id="rId19" o:title=""/>
                </v:shape>
              </w:pict>
            </w:r>
          </w:p>
        </w:tc>
        <w:tc>
          <w:tcPr>
            <w:tcW w:w="709" w:type="dxa"/>
            <w:shd w:val="clear" w:color="auto" w:fill="auto"/>
          </w:tcPr>
          <w:p w14:paraId="2B828D25"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4A6D924B"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3DC2B8FF" w14:textId="77777777" w:rsidTr="00241AAD">
        <w:trPr>
          <w:jc w:val="center"/>
        </w:trPr>
        <w:tc>
          <w:tcPr>
            <w:tcW w:w="1121" w:type="dxa"/>
            <w:shd w:val="clear" w:color="auto" w:fill="auto"/>
          </w:tcPr>
          <w:p w14:paraId="4776CCE6"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3</w:t>
            </w:r>
          </w:p>
        </w:tc>
        <w:tc>
          <w:tcPr>
            <w:tcW w:w="851" w:type="dxa"/>
            <w:shd w:val="clear" w:color="auto" w:fill="auto"/>
          </w:tcPr>
          <w:p w14:paraId="339F7291"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5E58BBB4">
                <v:shape id="_x0000_i1029" type="#_x0000_t75" style="width:9.75pt;height:15pt">
                  <v:imagedata r:id="rId19" o:title=""/>
                </v:shape>
              </w:pict>
            </w:r>
          </w:p>
        </w:tc>
        <w:tc>
          <w:tcPr>
            <w:tcW w:w="851" w:type="dxa"/>
            <w:shd w:val="clear" w:color="auto" w:fill="auto"/>
          </w:tcPr>
          <w:p w14:paraId="06FAE472"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0D25C2E8">
                <v:shape id="_x0000_i1030" type="#_x0000_t75" style="width:9.75pt;height:15pt">
                  <v:imagedata r:id="rId19" o:title=""/>
                </v:shape>
              </w:pict>
            </w:r>
          </w:p>
        </w:tc>
        <w:tc>
          <w:tcPr>
            <w:tcW w:w="1004" w:type="dxa"/>
            <w:shd w:val="clear" w:color="auto" w:fill="auto"/>
          </w:tcPr>
          <w:p w14:paraId="621A8CA1"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7CB301F0">
                <v:shape id="_x0000_i1031" type="#_x0000_t75" style="width:9.75pt;height:15pt">
                  <v:imagedata r:id="rId19" o:title=""/>
                </v:shape>
              </w:pict>
            </w:r>
          </w:p>
        </w:tc>
        <w:tc>
          <w:tcPr>
            <w:tcW w:w="1134" w:type="dxa"/>
            <w:shd w:val="clear" w:color="auto" w:fill="auto"/>
          </w:tcPr>
          <w:p w14:paraId="2F91E491"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7A5E5536">
                <v:shape id="_x0000_i1032" type="#_x0000_t75" style="width:9.75pt;height:15pt">
                  <v:imagedata r:id="rId19" o:title=""/>
                </v:shape>
              </w:pict>
            </w:r>
          </w:p>
        </w:tc>
        <w:tc>
          <w:tcPr>
            <w:tcW w:w="725" w:type="dxa"/>
            <w:shd w:val="clear" w:color="auto" w:fill="F2DBDB"/>
          </w:tcPr>
          <w:p w14:paraId="0AFA4D9E"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u w:val="single"/>
                <w:lang w:val="sv-SE" w:eastAsia="en-GB"/>
              </w:rPr>
            </w:pPr>
            <w:r>
              <w:rPr>
                <w:rFonts w:ascii="Arial" w:hAnsi="Arial" w:cs="Arial"/>
                <w:color w:val="FF0000"/>
                <w:position w:val="-10"/>
                <w:sz w:val="18"/>
                <w:szCs w:val="22"/>
                <w:u w:val="single"/>
                <w:lang w:val="sv-SE" w:eastAsia="en-GB"/>
              </w:rPr>
              <w:pict w14:anchorId="0FF7F0BB">
                <v:shape id="_x0000_i1033" type="#_x0000_t75" style="width:9.75pt;height:15pt">
                  <v:imagedata r:id="rId19" o:title=""/>
                </v:shape>
              </w:pict>
            </w:r>
          </w:p>
        </w:tc>
        <w:tc>
          <w:tcPr>
            <w:tcW w:w="976" w:type="dxa"/>
            <w:shd w:val="clear" w:color="auto" w:fill="F2DBDB"/>
          </w:tcPr>
          <w:p w14:paraId="3F80700E"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35DAF001">
                <v:shape id="_x0000_i1034" type="#_x0000_t75" style="width:9.75pt;height:15pt">
                  <v:imagedata r:id="rId19" o:title=""/>
                </v:shape>
              </w:pict>
            </w:r>
          </w:p>
        </w:tc>
        <w:tc>
          <w:tcPr>
            <w:tcW w:w="709" w:type="dxa"/>
            <w:shd w:val="clear" w:color="auto" w:fill="auto"/>
          </w:tcPr>
          <w:p w14:paraId="3D5791C4"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637FED62"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59402EE1" w14:textId="77777777" w:rsidTr="00ED0A01">
        <w:trPr>
          <w:jc w:val="center"/>
        </w:trPr>
        <w:tc>
          <w:tcPr>
            <w:tcW w:w="1121" w:type="dxa"/>
            <w:shd w:val="clear" w:color="auto" w:fill="auto"/>
          </w:tcPr>
          <w:p w14:paraId="723FD3CB"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4</w:t>
            </w:r>
          </w:p>
        </w:tc>
        <w:tc>
          <w:tcPr>
            <w:tcW w:w="851" w:type="dxa"/>
            <w:shd w:val="clear" w:color="auto" w:fill="auto"/>
          </w:tcPr>
          <w:p w14:paraId="15AD05B0"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2B362770">
                <v:shape id="_x0000_i1035" type="#_x0000_t75" style="width:9.75pt;height:15pt">
                  <v:imagedata r:id="rId19" o:title=""/>
                </v:shape>
              </w:pict>
            </w:r>
          </w:p>
        </w:tc>
        <w:tc>
          <w:tcPr>
            <w:tcW w:w="851" w:type="dxa"/>
            <w:shd w:val="clear" w:color="auto" w:fill="auto"/>
          </w:tcPr>
          <w:p w14:paraId="29BFFCFE"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5793BBB1">
                <v:shape id="_x0000_i1036" type="#_x0000_t75" style="width:9.75pt;height:15pt">
                  <v:imagedata r:id="rId19" o:title=""/>
                </v:shape>
              </w:pict>
            </w:r>
          </w:p>
        </w:tc>
        <w:tc>
          <w:tcPr>
            <w:tcW w:w="1004" w:type="dxa"/>
            <w:shd w:val="clear" w:color="auto" w:fill="auto"/>
          </w:tcPr>
          <w:p w14:paraId="45595DC3"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5994647E">
                <v:shape id="_x0000_i1037" type="#_x0000_t75" style="width:9.75pt;height:15pt">
                  <v:imagedata r:id="rId19" o:title=""/>
                </v:shape>
              </w:pict>
            </w:r>
          </w:p>
        </w:tc>
        <w:tc>
          <w:tcPr>
            <w:tcW w:w="1134" w:type="dxa"/>
            <w:shd w:val="clear" w:color="auto" w:fill="auto"/>
          </w:tcPr>
          <w:p w14:paraId="106ED23E"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2CE024E5">
                <v:shape id="_x0000_i1038" type="#_x0000_t75" style="width:9.75pt;height:15pt">
                  <v:imagedata r:id="rId19" o:title=""/>
                </v:shape>
              </w:pict>
            </w:r>
          </w:p>
        </w:tc>
        <w:tc>
          <w:tcPr>
            <w:tcW w:w="725" w:type="dxa"/>
            <w:shd w:val="clear" w:color="auto" w:fill="auto"/>
          </w:tcPr>
          <w:p w14:paraId="0684442F"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2DF426FB">
                <v:shape id="_x0000_i1039" type="#_x0000_t75" style="width:9.75pt;height:15pt">
                  <v:imagedata r:id="rId19" o:title=""/>
                </v:shape>
              </w:pict>
            </w:r>
          </w:p>
        </w:tc>
        <w:tc>
          <w:tcPr>
            <w:tcW w:w="976" w:type="dxa"/>
            <w:shd w:val="clear" w:color="auto" w:fill="auto"/>
          </w:tcPr>
          <w:p w14:paraId="1B386045"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0A883118">
                <v:shape id="_x0000_i1040" type="#_x0000_t75" style="width:9.75pt;height:15pt">
                  <v:imagedata r:id="rId19" o:title=""/>
                </v:shape>
              </w:pict>
            </w:r>
          </w:p>
        </w:tc>
        <w:tc>
          <w:tcPr>
            <w:tcW w:w="709" w:type="dxa"/>
            <w:shd w:val="clear" w:color="auto" w:fill="auto"/>
          </w:tcPr>
          <w:p w14:paraId="5CD1FC73"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7ECEA941"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1360EF8D" w14:textId="77777777" w:rsidTr="00241AAD">
        <w:trPr>
          <w:jc w:val="center"/>
        </w:trPr>
        <w:tc>
          <w:tcPr>
            <w:tcW w:w="1121" w:type="dxa"/>
            <w:shd w:val="clear" w:color="auto" w:fill="auto"/>
          </w:tcPr>
          <w:p w14:paraId="0E5348C8"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5</w:t>
            </w:r>
          </w:p>
        </w:tc>
        <w:tc>
          <w:tcPr>
            <w:tcW w:w="851" w:type="dxa"/>
            <w:shd w:val="clear" w:color="auto" w:fill="auto"/>
          </w:tcPr>
          <w:p w14:paraId="2C1BC85F"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25D02B41">
                <v:shape id="_x0000_i1041" type="#_x0000_t75" style="width:9.75pt;height:15pt">
                  <v:imagedata r:id="rId19" o:title=""/>
                </v:shape>
              </w:pict>
            </w:r>
          </w:p>
        </w:tc>
        <w:tc>
          <w:tcPr>
            <w:tcW w:w="851" w:type="dxa"/>
            <w:shd w:val="clear" w:color="auto" w:fill="auto"/>
          </w:tcPr>
          <w:p w14:paraId="40E2A254"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3E1825AB">
                <v:shape id="_x0000_i1042" type="#_x0000_t75" style="width:9.75pt;height:15pt">
                  <v:imagedata r:id="rId19" o:title=""/>
                </v:shape>
              </w:pict>
            </w:r>
          </w:p>
        </w:tc>
        <w:tc>
          <w:tcPr>
            <w:tcW w:w="1004" w:type="dxa"/>
            <w:shd w:val="clear" w:color="auto" w:fill="auto"/>
          </w:tcPr>
          <w:p w14:paraId="517A44BC"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3F69EEC8">
                <v:shape id="_x0000_i1043" type="#_x0000_t75" style="width:9.75pt;height:15pt">
                  <v:imagedata r:id="rId19" o:title=""/>
                </v:shape>
              </w:pict>
            </w:r>
          </w:p>
        </w:tc>
        <w:tc>
          <w:tcPr>
            <w:tcW w:w="1134" w:type="dxa"/>
            <w:shd w:val="clear" w:color="auto" w:fill="auto"/>
          </w:tcPr>
          <w:p w14:paraId="5AABC06E"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5DFA4A71">
                <v:shape id="_x0000_i1044" type="#_x0000_t75" style="width:9.75pt;height:15pt">
                  <v:imagedata r:id="rId19" o:title=""/>
                </v:shape>
              </w:pict>
            </w:r>
          </w:p>
        </w:tc>
        <w:tc>
          <w:tcPr>
            <w:tcW w:w="725" w:type="dxa"/>
            <w:shd w:val="clear" w:color="auto" w:fill="F2DBDB"/>
          </w:tcPr>
          <w:p w14:paraId="0A021787" w14:textId="77777777" w:rsidR="00241AAD" w:rsidRPr="00241AAD" w:rsidRDefault="00D9634F" w:rsidP="00241AAD">
            <w:pPr>
              <w:keepNext/>
              <w:keepLines/>
              <w:overflowPunct/>
              <w:autoSpaceDE/>
              <w:autoSpaceDN/>
              <w:adjustRightInd/>
              <w:spacing w:after="0"/>
              <w:jc w:val="center"/>
              <w:textAlignment w:val="auto"/>
              <w:rPr>
                <w:rFonts w:ascii="Arial" w:hAnsi="Arial" w:cs="Arial"/>
                <w:color w:val="FF0000"/>
                <w:sz w:val="18"/>
                <w:szCs w:val="22"/>
                <w:u w:val="single"/>
                <w:lang w:val="sv-SE" w:eastAsia="en-GB"/>
              </w:rPr>
            </w:pPr>
            <w:r>
              <w:rPr>
                <w:rFonts w:ascii="Arial" w:hAnsi="Arial" w:cs="Arial"/>
                <w:color w:val="FF0000"/>
                <w:position w:val="-10"/>
                <w:sz w:val="18"/>
                <w:szCs w:val="22"/>
                <w:u w:val="single"/>
                <w:lang w:val="sv-SE" w:eastAsia="en-GB"/>
              </w:rPr>
              <w:pict w14:anchorId="6606BE72">
                <v:shape id="_x0000_i1045" type="#_x0000_t75" style="width:9.75pt;height:15pt">
                  <v:imagedata r:id="rId19" o:title=""/>
                </v:shape>
              </w:pict>
            </w:r>
          </w:p>
        </w:tc>
        <w:tc>
          <w:tcPr>
            <w:tcW w:w="976" w:type="dxa"/>
            <w:shd w:val="clear" w:color="auto" w:fill="F2DBDB"/>
          </w:tcPr>
          <w:p w14:paraId="0D4D482C"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u w:val="single"/>
                <w:lang w:val="sv-SE" w:eastAsia="en-GB"/>
              </w:rPr>
            </w:pPr>
            <w:r w:rsidRPr="00241AAD">
              <w:rPr>
                <w:rFonts w:ascii="Arial" w:hAnsi="Arial" w:cs="Arial"/>
                <w:color w:val="FF0000"/>
                <w:position w:val="-10"/>
                <w:sz w:val="18"/>
                <w:szCs w:val="22"/>
                <w:u w:val="single"/>
                <w:lang w:val="sv-SE" w:eastAsia="en-GB"/>
              </w:rPr>
              <w:drawing>
                <wp:inline distT="0" distB="0" distL="0" distR="0" wp14:anchorId="53F2C5E0" wp14:editId="239E09B5">
                  <wp:extent cx="241300" cy="191135"/>
                  <wp:effectExtent l="0" t="0" r="635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09" w:type="dxa"/>
            <w:shd w:val="clear" w:color="auto" w:fill="auto"/>
          </w:tcPr>
          <w:p w14:paraId="68D68750"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09120545"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481E8661" w14:textId="77777777" w:rsidTr="00241AAD">
        <w:trPr>
          <w:jc w:val="center"/>
        </w:trPr>
        <w:tc>
          <w:tcPr>
            <w:tcW w:w="1121" w:type="dxa"/>
            <w:shd w:val="clear" w:color="auto" w:fill="auto"/>
          </w:tcPr>
          <w:p w14:paraId="08D2B2A4"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6</w:t>
            </w:r>
          </w:p>
        </w:tc>
        <w:tc>
          <w:tcPr>
            <w:tcW w:w="851" w:type="dxa"/>
            <w:shd w:val="clear" w:color="auto" w:fill="auto"/>
          </w:tcPr>
          <w:p w14:paraId="161BFCD2"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2BC4FCBF">
                <v:shape id="_x0000_i1046" type="#_x0000_t75" style="width:9.75pt;height:15pt">
                  <v:imagedata r:id="rId19" o:title=""/>
                </v:shape>
              </w:pict>
            </w:r>
          </w:p>
        </w:tc>
        <w:tc>
          <w:tcPr>
            <w:tcW w:w="851" w:type="dxa"/>
            <w:shd w:val="clear" w:color="auto" w:fill="auto"/>
          </w:tcPr>
          <w:p w14:paraId="4ABEC374"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3F21035A">
                <v:shape id="_x0000_i1047" type="#_x0000_t75" style="width:9.75pt;height:15pt">
                  <v:imagedata r:id="rId19" o:title=""/>
                </v:shape>
              </w:pict>
            </w:r>
          </w:p>
        </w:tc>
        <w:tc>
          <w:tcPr>
            <w:tcW w:w="1004" w:type="dxa"/>
            <w:shd w:val="clear" w:color="auto" w:fill="auto"/>
          </w:tcPr>
          <w:p w14:paraId="135D17B4"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708A76F9">
                <v:shape id="_x0000_i1048" type="#_x0000_t75" style="width:9.75pt;height:15pt">
                  <v:imagedata r:id="rId19" o:title=""/>
                </v:shape>
              </w:pict>
            </w:r>
          </w:p>
        </w:tc>
        <w:tc>
          <w:tcPr>
            <w:tcW w:w="1134" w:type="dxa"/>
            <w:shd w:val="clear" w:color="auto" w:fill="auto"/>
          </w:tcPr>
          <w:p w14:paraId="756310B4"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0B032226">
                <v:shape id="_x0000_i1049" type="#_x0000_t75" style="width:9.75pt;height:15pt">
                  <v:imagedata r:id="rId19" o:title=""/>
                </v:shape>
              </w:pict>
            </w:r>
          </w:p>
        </w:tc>
        <w:tc>
          <w:tcPr>
            <w:tcW w:w="725" w:type="dxa"/>
            <w:shd w:val="clear" w:color="auto" w:fill="FFFFFF"/>
          </w:tcPr>
          <w:p w14:paraId="7484D20F" w14:textId="77777777" w:rsidR="00241AAD" w:rsidRPr="00241AAD" w:rsidRDefault="00241AAD" w:rsidP="00241AAD">
            <w:pPr>
              <w:keepNext/>
              <w:keepLines/>
              <w:overflowPunct/>
              <w:autoSpaceDE/>
              <w:autoSpaceDN/>
              <w:adjustRightInd/>
              <w:spacing w:after="0"/>
              <w:jc w:val="center"/>
              <w:textAlignment w:val="auto"/>
              <w:rPr>
                <w:rFonts w:ascii="Arial" w:hAnsi="Arial" w:cs="Arial"/>
                <w:color w:val="FF0000"/>
                <w:sz w:val="18"/>
                <w:szCs w:val="22"/>
                <w:lang w:val="sv-SE" w:eastAsia="en-GB"/>
              </w:rPr>
            </w:pPr>
            <w:r w:rsidRPr="00241AAD">
              <w:rPr>
                <w:rFonts w:ascii="Arial" w:hAnsi="Arial" w:cs="Arial"/>
                <w:color w:val="FF0000"/>
                <w:position w:val="-10"/>
                <w:sz w:val="18"/>
                <w:szCs w:val="22"/>
                <w:lang w:val="sv-SE" w:eastAsia="en-GB"/>
              </w:rPr>
              <w:drawing>
                <wp:inline distT="0" distB="0" distL="0" distR="0" wp14:anchorId="00E71B61" wp14:editId="3D121BAD">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976" w:type="dxa"/>
            <w:shd w:val="clear" w:color="auto" w:fill="auto"/>
          </w:tcPr>
          <w:p w14:paraId="267B6F47"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hAnsi="Arial" w:cs="Arial"/>
                <w:color w:val="FF0000"/>
                <w:position w:val="-10"/>
                <w:sz w:val="18"/>
                <w:szCs w:val="22"/>
                <w:lang w:val="sv-SE" w:eastAsia="en-GB"/>
              </w:rPr>
              <w:drawing>
                <wp:inline distT="0" distB="0" distL="0" distR="0" wp14:anchorId="7ABC819B" wp14:editId="2CC500BC">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09" w:type="dxa"/>
            <w:shd w:val="clear" w:color="auto" w:fill="auto"/>
          </w:tcPr>
          <w:p w14:paraId="6868CAEF"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173E325B"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662C46C8" w14:textId="77777777" w:rsidTr="00ED0A01">
        <w:trPr>
          <w:jc w:val="center"/>
        </w:trPr>
        <w:tc>
          <w:tcPr>
            <w:tcW w:w="1121" w:type="dxa"/>
            <w:shd w:val="clear" w:color="auto" w:fill="auto"/>
          </w:tcPr>
          <w:p w14:paraId="56160F5A"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7</w:t>
            </w:r>
          </w:p>
        </w:tc>
        <w:tc>
          <w:tcPr>
            <w:tcW w:w="851" w:type="dxa"/>
            <w:shd w:val="clear" w:color="auto" w:fill="auto"/>
          </w:tcPr>
          <w:p w14:paraId="2757E0EA"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1241D0AB">
                <v:shape id="_x0000_i1050" type="#_x0000_t75" style="width:9.75pt;height:15pt">
                  <v:imagedata r:id="rId19" o:title=""/>
                </v:shape>
              </w:pict>
            </w:r>
          </w:p>
        </w:tc>
        <w:tc>
          <w:tcPr>
            <w:tcW w:w="851" w:type="dxa"/>
            <w:shd w:val="clear" w:color="auto" w:fill="auto"/>
          </w:tcPr>
          <w:p w14:paraId="715C3617"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01EEE0D4">
                <v:shape id="_x0000_i1051" type="#_x0000_t75" style="width:9.75pt;height:15pt">
                  <v:imagedata r:id="rId19" o:title=""/>
                </v:shape>
              </w:pict>
            </w:r>
          </w:p>
        </w:tc>
        <w:tc>
          <w:tcPr>
            <w:tcW w:w="1004" w:type="dxa"/>
            <w:shd w:val="clear" w:color="auto" w:fill="auto"/>
          </w:tcPr>
          <w:p w14:paraId="7993FC53"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4433DB0A">
                <v:shape id="_x0000_i1052" type="#_x0000_t75" style="width:9.75pt;height:15pt">
                  <v:imagedata r:id="rId19" o:title=""/>
                </v:shape>
              </w:pict>
            </w:r>
          </w:p>
        </w:tc>
        <w:tc>
          <w:tcPr>
            <w:tcW w:w="1134" w:type="dxa"/>
            <w:shd w:val="clear" w:color="auto" w:fill="auto"/>
          </w:tcPr>
          <w:p w14:paraId="3D43F29D"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1466E70E">
                <v:shape id="_x0000_i1053" type="#_x0000_t75" style="width:9.75pt;height:15pt">
                  <v:imagedata r:id="rId19" o:title=""/>
                </v:shape>
              </w:pict>
            </w:r>
          </w:p>
        </w:tc>
        <w:tc>
          <w:tcPr>
            <w:tcW w:w="725" w:type="dxa"/>
            <w:shd w:val="clear" w:color="auto" w:fill="auto"/>
          </w:tcPr>
          <w:p w14:paraId="72BF519D"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4ABAB517">
                <v:shape id="_x0000_i1054" type="#_x0000_t75" style="width:9.75pt;height:15pt">
                  <v:imagedata r:id="rId19" o:title=""/>
                </v:shape>
              </w:pict>
            </w:r>
          </w:p>
        </w:tc>
        <w:tc>
          <w:tcPr>
            <w:tcW w:w="976" w:type="dxa"/>
            <w:shd w:val="clear" w:color="auto" w:fill="auto"/>
          </w:tcPr>
          <w:p w14:paraId="30AAF969"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hAnsi="Arial" w:cs="Arial"/>
                <w:position w:val="-10"/>
                <w:sz w:val="18"/>
                <w:szCs w:val="22"/>
                <w:lang w:val="sv-SE" w:eastAsia="en-GB"/>
              </w:rPr>
              <w:drawing>
                <wp:inline distT="0" distB="0" distL="0" distR="0" wp14:anchorId="1CB9F5A7" wp14:editId="2511DAD7">
                  <wp:extent cx="233045" cy="1911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3045" cy="191135"/>
                          </a:xfrm>
                          <a:prstGeom prst="rect">
                            <a:avLst/>
                          </a:prstGeom>
                          <a:noFill/>
                          <a:ln>
                            <a:noFill/>
                          </a:ln>
                        </pic:spPr>
                      </pic:pic>
                    </a:graphicData>
                  </a:graphic>
                </wp:inline>
              </w:drawing>
            </w:r>
          </w:p>
        </w:tc>
        <w:tc>
          <w:tcPr>
            <w:tcW w:w="709" w:type="dxa"/>
            <w:shd w:val="clear" w:color="auto" w:fill="auto"/>
          </w:tcPr>
          <w:p w14:paraId="2A2EF0E9"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65DCE439"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3C3F32A4" w14:textId="77777777" w:rsidTr="00241AAD">
        <w:trPr>
          <w:jc w:val="center"/>
        </w:trPr>
        <w:tc>
          <w:tcPr>
            <w:tcW w:w="1121" w:type="dxa"/>
            <w:shd w:val="clear" w:color="auto" w:fill="auto"/>
          </w:tcPr>
          <w:p w14:paraId="4BA44BF5"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8</w:t>
            </w:r>
          </w:p>
        </w:tc>
        <w:tc>
          <w:tcPr>
            <w:tcW w:w="851" w:type="dxa"/>
            <w:shd w:val="clear" w:color="auto" w:fill="auto"/>
          </w:tcPr>
          <w:p w14:paraId="7902E605"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77C20540">
                <v:shape id="_x0000_i1055" type="#_x0000_t75" style="width:9.75pt;height:15pt">
                  <v:imagedata r:id="rId19" o:title=""/>
                </v:shape>
              </w:pict>
            </w:r>
          </w:p>
        </w:tc>
        <w:tc>
          <w:tcPr>
            <w:tcW w:w="851" w:type="dxa"/>
            <w:shd w:val="clear" w:color="auto" w:fill="auto"/>
          </w:tcPr>
          <w:p w14:paraId="7F3F3CDB"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6950568B">
                <v:shape id="_x0000_i1056" type="#_x0000_t75" style="width:9.75pt;height:15pt">
                  <v:imagedata r:id="rId19" o:title=""/>
                </v:shape>
              </w:pict>
            </w:r>
            <w:r w:rsidR="00241AAD" w:rsidRPr="00241AAD">
              <w:rPr>
                <w:rFonts w:ascii="Arial" w:hAnsi="Arial" w:cs="Arial"/>
                <w:sz w:val="18"/>
                <w:szCs w:val="22"/>
                <w:lang w:val="sv-SE" w:eastAsia="en-GB"/>
              </w:rPr>
              <w:t>, 7</w:t>
            </w:r>
          </w:p>
        </w:tc>
        <w:tc>
          <w:tcPr>
            <w:tcW w:w="1004" w:type="dxa"/>
            <w:shd w:val="clear" w:color="auto" w:fill="auto"/>
          </w:tcPr>
          <w:p w14:paraId="380EA541"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4A14FAB9">
                <v:shape id="_x0000_i1057" type="#_x0000_t75" style="width:9.75pt;height:15pt">
                  <v:imagedata r:id="rId19" o:title=""/>
                </v:shape>
              </w:pict>
            </w:r>
            <w:r w:rsidR="00241AAD" w:rsidRPr="00241AAD">
              <w:rPr>
                <w:rFonts w:ascii="Arial" w:hAnsi="Arial" w:cs="Arial"/>
                <w:sz w:val="18"/>
                <w:szCs w:val="22"/>
                <w:lang w:val="sv-SE" w:eastAsia="en-GB"/>
              </w:rPr>
              <w:t>, 7</w:t>
            </w:r>
          </w:p>
        </w:tc>
        <w:tc>
          <w:tcPr>
            <w:tcW w:w="1134" w:type="dxa"/>
            <w:shd w:val="clear" w:color="auto" w:fill="auto"/>
          </w:tcPr>
          <w:p w14:paraId="24E686A8"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21E35816">
                <v:shape id="_x0000_i1058" type="#_x0000_t75" style="width:9.75pt;height:15pt">
                  <v:imagedata r:id="rId19" o:title=""/>
                </v:shape>
              </w:pict>
            </w:r>
            <w:r w:rsidR="00241AAD" w:rsidRPr="00241AAD">
              <w:rPr>
                <w:rFonts w:ascii="Arial" w:hAnsi="Arial" w:cs="Arial"/>
                <w:sz w:val="18"/>
                <w:szCs w:val="22"/>
                <w:lang w:val="sv-SE" w:eastAsia="en-GB"/>
              </w:rPr>
              <w:t>, 7</w:t>
            </w:r>
          </w:p>
        </w:tc>
        <w:tc>
          <w:tcPr>
            <w:tcW w:w="725" w:type="dxa"/>
            <w:shd w:val="clear" w:color="auto" w:fill="F2DBDB"/>
          </w:tcPr>
          <w:p w14:paraId="3AC89EEB"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color w:val="FF0000"/>
                <w:sz w:val="18"/>
                <w:szCs w:val="22"/>
                <w:u w:val="single"/>
                <w:lang w:val="sv-SE" w:eastAsia="en-GB"/>
              </w:rPr>
            </w:pPr>
            <w:r>
              <w:rPr>
                <w:rFonts w:ascii="Arial" w:hAnsi="Arial" w:cs="Arial"/>
                <w:color w:val="FF0000"/>
                <w:position w:val="-10"/>
                <w:sz w:val="18"/>
                <w:szCs w:val="22"/>
                <w:u w:val="single"/>
                <w:lang w:val="sv-SE" w:eastAsia="en-GB"/>
              </w:rPr>
              <w:pict w14:anchorId="29B70568">
                <v:shape id="_x0000_i1059" type="#_x0000_t75" style="width:9.75pt;height:15pt">
                  <v:imagedata r:id="rId19" o:title=""/>
                </v:shape>
              </w:pict>
            </w:r>
          </w:p>
        </w:tc>
        <w:tc>
          <w:tcPr>
            <w:tcW w:w="976" w:type="dxa"/>
            <w:shd w:val="clear" w:color="auto" w:fill="F2DBDB"/>
          </w:tcPr>
          <w:p w14:paraId="3D856694"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u w:val="single"/>
                <w:lang w:val="sv-SE" w:eastAsia="en-GB"/>
              </w:rPr>
            </w:pPr>
            <w:r>
              <w:rPr>
                <w:rFonts w:ascii="Arial" w:hAnsi="Arial" w:cs="Arial"/>
                <w:color w:val="FF0000"/>
                <w:position w:val="-10"/>
                <w:sz w:val="18"/>
                <w:szCs w:val="22"/>
                <w:u w:val="single"/>
                <w:lang w:val="sv-SE" w:eastAsia="en-GB"/>
              </w:rPr>
              <w:pict w14:anchorId="6D573035">
                <v:shape id="_x0000_i1060" type="#_x0000_t75" style="width:9.75pt;height:15pt">
                  <v:imagedata r:id="rId19" o:title=""/>
                </v:shape>
              </w:pict>
            </w:r>
            <w:r w:rsidR="00241AAD" w:rsidRPr="00241AAD">
              <w:rPr>
                <w:rFonts w:ascii="Arial" w:hAnsi="Arial" w:cs="Arial"/>
                <w:color w:val="FF0000"/>
                <w:sz w:val="18"/>
                <w:szCs w:val="22"/>
                <w:u w:val="single"/>
                <w:lang w:val="sv-SE" w:eastAsia="en-GB"/>
              </w:rPr>
              <w:t>, 6</w:t>
            </w:r>
          </w:p>
        </w:tc>
        <w:tc>
          <w:tcPr>
            <w:tcW w:w="709" w:type="dxa"/>
            <w:shd w:val="clear" w:color="auto" w:fill="auto"/>
          </w:tcPr>
          <w:p w14:paraId="41BD0100"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0ADC308C"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670400AA" w14:textId="77777777" w:rsidTr="00241AAD">
        <w:trPr>
          <w:jc w:val="center"/>
        </w:trPr>
        <w:tc>
          <w:tcPr>
            <w:tcW w:w="1121" w:type="dxa"/>
            <w:shd w:val="clear" w:color="auto" w:fill="auto"/>
          </w:tcPr>
          <w:p w14:paraId="5F8697D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9</w:t>
            </w:r>
          </w:p>
        </w:tc>
        <w:tc>
          <w:tcPr>
            <w:tcW w:w="851" w:type="dxa"/>
            <w:shd w:val="clear" w:color="auto" w:fill="auto"/>
          </w:tcPr>
          <w:p w14:paraId="497CF4C4"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44E161C2">
                <v:shape id="_x0000_i1061" type="#_x0000_t75" style="width:9.75pt;height:15pt">
                  <v:imagedata r:id="rId19" o:title=""/>
                </v:shape>
              </w:pict>
            </w:r>
          </w:p>
        </w:tc>
        <w:tc>
          <w:tcPr>
            <w:tcW w:w="851" w:type="dxa"/>
            <w:shd w:val="clear" w:color="auto" w:fill="auto"/>
          </w:tcPr>
          <w:p w14:paraId="59C6EA3A"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157016BC">
                <v:shape id="_x0000_i1062"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7</w:t>
            </w:r>
          </w:p>
        </w:tc>
        <w:tc>
          <w:tcPr>
            <w:tcW w:w="1004" w:type="dxa"/>
            <w:shd w:val="clear" w:color="auto" w:fill="auto"/>
          </w:tcPr>
          <w:p w14:paraId="3F14A9E8"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0824FA2D">
                <v:shape id="_x0000_i1063"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7</w:t>
            </w:r>
          </w:p>
        </w:tc>
        <w:tc>
          <w:tcPr>
            <w:tcW w:w="1134" w:type="dxa"/>
            <w:shd w:val="clear" w:color="auto" w:fill="auto"/>
          </w:tcPr>
          <w:p w14:paraId="16C70645"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0D9E3597">
                <v:shape id="_x0000_i1064"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7</w:t>
            </w:r>
          </w:p>
        </w:tc>
        <w:tc>
          <w:tcPr>
            <w:tcW w:w="725" w:type="dxa"/>
            <w:shd w:val="clear" w:color="auto" w:fill="F2DBDB"/>
          </w:tcPr>
          <w:p w14:paraId="6C484880"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color w:val="FF0000"/>
                <w:sz w:val="18"/>
                <w:szCs w:val="22"/>
                <w:u w:val="single"/>
                <w:lang w:val="sv-SE" w:eastAsia="en-GB"/>
              </w:rPr>
            </w:pPr>
            <w:r>
              <w:rPr>
                <w:rFonts w:ascii="Arial" w:hAnsi="Arial" w:cs="Arial"/>
                <w:color w:val="FF0000"/>
                <w:position w:val="-10"/>
                <w:sz w:val="18"/>
                <w:szCs w:val="22"/>
                <w:u w:val="single"/>
                <w:lang w:val="sv-SE" w:eastAsia="en-GB"/>
              </w:rPr>
              <w:pict w14:anchorId="097A9FE6">
                <v:shape id="_x0000_i1065" type="#_x0000_t75" style="width:9.75pt;height:15pt">
                  <v:imagedata r:id="rId19" o:title=""/>
                </v:shape>
              </w:pict>
            </w:r>
          </w:p>
        </w:tc>
        <w:tc>
          <w:tcPr>
            <w:tcW w:w="976" w:type="dxa"/>
            <w:shd w:val="clear" w:color="auto" w:fill="F2DBDB"/>
          </w:tcPr>
          <w:p w14:paraId="2C1242A0"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color w:val="FF0000"/>
                <w:sz w:val="18"/>
                <w:szCs w:val="22"/>
                <w:u w:val="single"/>
                <w:lang w:val="sv-SE" w:eastAsia="en-GB"/>
              </w:rPr>
            </w:pPr>
            <w:r>
              <w:rPr>
                <w:rFonts w:ascii="Arial" w:hAnsi="Arial" w:cs="Arial"/>
                <w:color w:val="FF0000"/>
                <w:position w:val="-10"/>
                <w:sz w:val="18"/>
                <w:szCs w:val="22"/>
                <w:u w:val="single"/>
                <w:lang w:val="sv-SE" w:eastAsia="en-GB"/>
              </w:rPr>
              <w:pict w14:anchorId="4054FD51">
                <v:shape id="_x0000_i1066" type="#_x0000_t75" style="width:9.75pt;height:15pt">
                  <v:imagedata r:id="rId19" o:title=""/>
                </v:shape>
              </w:pict>
            </w:r>
            <w:r w:rsidR="00241AAD" w:rsidRPr="00241AAD">
              <w:rPr>
                <w:rFonts w:ascii="Arial" w:hAnsi="Arial" w:cs="Arial"/>
                <w:color w:val="FF0000"/>
                <w:sz w:val="18"/>
                <w:szCs w:val="22"/>
                <w:u w:val="single"/>
                <w:lang w:val="sv-SE" w:eastAsia="en-GB"/>
              </w:rPr>
              <w:t xml:space="preserve">, </w:t>
            </w:r>
            <w:r w:rsidR="00241AAD" w:rsidRPr="00241AAD">
              <w:rPr>
                <w:rFonts w:ascii="Arial" w:eastAsia="Batang" w:hAnsi="Arial" w:cs="Arial"/>
                <w:color w:val="FF0000"/>
                <w:sz w:val="18"/>
                <w:szCs w:val="22"/>
                <w:u w:val="single"/>
                <w:lang w:val="sv-SE" w:eastAsia="en-GB"/>
              </w:rPr>
              <w:t>7</w:t>
            </w:r>
          </w:p>
        </w:tc>
        <w:tc>
          <w:tcPr>
            <w:tcW w:w="709" w:type="dxa"/>
            <w:shd w:val="clear" w:color="auto" w:fill="auto"/>
          </w:tcPr>
          <w:p w14:paraId="5392ABCC"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3CD58960"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11EB561F" w14:textId="77777777" w:rsidTr="00241AAD">
        <w:trPr>
          <w:jc w:val="center"/>
        </w:trPr>
        <w:tc>
          <w:tcPr>
            <w:tcW w:w="1121" w:type="dxa"/>
            <w:shd w:val="clear" w:color="auto" w:fill="auto"/>
          </w:tcPr>
          <w:p w14:paraId="1F9A5CF7"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10</w:t>
            </w:r>
          </w:p>
        </w:tc>
        <w:tc>
          <w:tcPr>
            <w:tcW w:w="851" w:type="dxa"/>
            <w:shd w:val="clear" w:color="auto" w:fill="auto"/>
          </w:tcPr>
          <w:p w14:paraId="7FED3616"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1786E033">
                <v:shape id="_x0000_i1067" type="#_x0000_t75" style="width:9.75pt;height:15pt">
                  <v:imagedata r:id="rId19" o:title=""/>
                </v:shape>
              </w:pict>
            </w:r>
          </w:p>
        </w:tc>
        <w:tc>
          <w:tcPr>
            <w:tcW w:w="851" w:type="dxa"/>
            <w:shd w:val="clear" w:color="auto" w:fill="auto"/>
          </w:tcPr>
          <w:p w14:paraId="4A40D956"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2C53BADA">
                <v:shape id="_x0000_i1068"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9</w:t>
            </w:r>
          </w:p>
        </w:tc>
        <w:tc>
          <w:tcPr>
            <w:tcW w:w="1004" w:type="dxa"/>
            <w:shd w:val="clear" w:color="auto" w:fill="auto"/>
          </w:tcPr>
          <w:p w14:paraId="34DE8F16"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23340B1F">
                <v:shape id="_x0000_i1069"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6, 9</w:t>
            </w:r>
          </w:p>
        </w:tc>
        <w:tc>
          <w:tcPr>
            <w:tcW w:w="1134" w:type="dxa"/>
            <w:shd w:val="clear" w:color="auto" w:fill="auto"/>
          </w:tcPr>
          <w:p w14:paraId="59240679"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1E9B7A82">
                <v:shape id="_x0000_i1070"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6, 9</w:t>
            </w:r>
          </w:p>
        </w:tc>
        <w:tc>
          <w:tcPr>
            <w:tcW w:w="725" w:type="dxa"/>
            <w:shd w:val="clear" w:color="auto" w:fill="F2DBDB"/>
          </w:tcPr>
          <w:p w14:paraId="561934BC"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color w:val="FF0000"/>
                <w:sz w:val="18"/>
                <w:szCs w:val="22"/>
                <w:u w:val="single"/>
                <w:lang w:val="sv-SE" w:eastAsia="en-GB"/>
              </w:rPr>
            </w:pPr>
            <w:r>
              <w:rPr>
                <w:rFonts w:ascii="Arial" w:hAnsi="Arial" w:cs="Arial"/>
                <w:color w:val="FF0000"/>
                <w:position w:val="-10"/>
                <w:sz w:val="18"/>
                <w:szCs w:val="22"/>
                <w:u w:val="single"/>
                <w:lang w:val="sv-SE" w:eastAsia="en-GB"/>
              </w:rPr>
              <w:pict w14:anchorId="4DB78353">
                <v:shape id="_x0000_i1071" type="#_x0000_t75" style="width:9.75pt;height:15pt">
                  <v:imagedata r:id="rId19" o:title=""/>
                </v:shape>
              </w:pict>
            </w:r>
          </w:p>
        </w:tc>
        <w:tc>
          <w:tcPr>
            <w:tcW w:w="976" w:type="dxa"/>
            <w:shd w:val="clear" w:color="auto" w:fill="F2DBDB"/>
          </w:tcPr>
          <w:p w14:paraId="2008F5E7"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color w:val="FF0000"/>
                <w:sz w:val="18"/>
                <w:szCs w:val="22"/>
                <w:u w:val="single"/>
                <w:lang w:val="sv-SE" w:eastAsia="en-GB"/>
              </w:rPr>
            </w:pPr>
            <w:r>
              <w:rPr>
                <w:rFonts w:ascii="Arial" w:hAnsi="Arial" w:cs="Arial"/>
                <w:color w:val="FF0000"/>
                <w:position w:val="-10"/>
                <w:sz w:val="18"/>
                <w:szCs w:val="22"/>
                <w:u w:val="single"/>
                <w:lang w:val="sv-SE" w:eastAsia="en-GB"/>
              </w:rPr>
              <w:pict w14:anchorId="1435E68A">
                <v:shape id="_x0000_i1072" type="#_x0000_t75" style="width:9.75pt;height:15pt">
                  <v:imagedata r:id="rId19" o:title=""/>
                </v:shape>
              </w:pict>
            </w:r>
            <w:r w:rsidR="00241AAD" w:rsidRPr="00241AAD">
              <w:rPr>
                <w:rFonts w:ascii="Arial" w:hAnsi="Arial" w:cs="Arial"/>
                <w:color w:val="FF0000"/>
                <w:sz w:val="18"/>
                <w:szCs w:val="22"/>
                <w:u w:val="single"/>
                <w:lang w:val="sv-SE" w:eastAsia="en-GB"/>
              </w:rPr>
              <w:t xml:space="preserve">, </w:t>
            </w:r>
            <w:r w:rsidR="00241AAD" w:rsidRPr="00241AAD">
              <w:rPr>
                <w:rFonts w:ascii="Arial" w:eastAsia="Batang" w:hAnsi="Arial" w:cs="Arial"/>
                <w:color w:val="FF0000"/>
                <w:sz w:val="18"/>
                <w:szCs w:val="22"/>
                <w:u w:val="single"/>
                <w:lang w:val="sv-SE" w:eastAsia="en-GB"/>
              </w:rPr>
              <w:t>7</w:t>
            </w:r>
          </w:p>
        </w:tc>
        <w:tc>
          <w:tcPr>
            <w:tcW w:w="709" w:type="dxa"/>
            <w:shd w:val="clear" w:color="auto" w:fill="auto"/>
          </w:tcPr>
          <w:p w14:paraId="12CE5E16"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11FC2A31"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254B6B83" w14:textId="77777777" w:rsidTr="00241AAD">
        <w:trPr>
          <w:jc w:val="center"/>
        </w:trPr>
        <w:tc>
          <w:tcPr>
            <w:tcW w:w="1121" w:type="dxa"/>
            <w:shd w:val="clear" w:color="auto" w:fill="auto"/>
          </w:tcPr>
          <w:p w14:paraId="0C539F35"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11</w:t>
            </w:r>
          </w:p>
        </w:tc>
        <w:tc>
          <w:tcPr>
            <w:tcW w:w="851" w:type="dxa"/>
            <w:shd w:val="clear" w:color="auto" w:fill="auto"/>
          </w:tcPr>
          <w:p w14:paraId="7F0F73B7"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72D9F85F">
                <v:shape id="_x0000_i1073" type="#_x0000_t75" style="width:9.75pt;height:15pt">
                  <v:imagedata r:id="rId19" o:title=""/>
                </v:shape>
              </w:pict>
            </w:r>
          </w:p>
        </w:tc>
        <w:tc>
          <w:tcPr>
            <w:tcW w:w="851" w:type="dxa"/>
            <w:shd w:val="clear" w:color="auto" w:fill="auto"/>
          </w:tcPr>
          <w:p w14:paraId="0ED72DEB"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2F1A5637">
                <v:shape id="_x0000_i1074"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9</w:t>
            </w:r>
          </w:p>
        </w:tc>
        <w:tc>
          <w:tcPr>
            <w:tcW w:w="1004" w:type="dxa"/>
            <w:shd w:val="clear" w:color="auto" w:fill="auto"/>
          </w:tcPr>
          <w:p w14:paraId="70093C5A"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206A3FA5">
                <v:shape id="_x0000_i1075"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6, 9</w:t>
            </w:r>
          </w:p>
        </w:tc>
        <w:tc>
          <w:tcPr>
            <w:tcW w:w="1134" w:type="dxa"/>
            <w:shd w:val="clear" w:color="auto" w:fill="auto"/>
          </w:tcPr>
          <w:p w14:paraId="2D5D3A70"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2718513E">
                <v:shape id="_x0000_i1076"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6, 9</w:t>
            </w:r>
          </w:p>
        </w:tc>
        <w:tc>
          <w:tcPr>
            <w:tcW w:w="725" w:type="dxa"/>
            <w:shd w:val="clear" w:color="auto" w:fill="F2DBDB"/>
          </w:tcPr>
          <w:p w14:paraId="6C97AA55"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color w:val="FF0000"/>
                <w:sz w:val="18"/>
                <w:szCs w:val="22"/>
                <w:u w:val="single"/>
                <w:lang w:val="sv-SE" w:eastAsia="en-GB"/>
              </w:rPr>
            </w:pPr>
            <w:r>
              <w:rPr>
                <w:rFonts w:ascii="Arial" w:hAnsi="Arial" w:cs="Arial"/>
                <w:color w:val="FF0000"/>
                <w:position w:val="-10"/>
                <w:sz w:val="18"/>
                <w:szCs w:val="22"/>
                <w:u w:val="single"/>
                <w:lang w:val="sv-SE" w:eastAsia="en-GB"/>
              </w:rPr>
              <w:pict w14:anchorId="6AF1891E">
                <v:shape id="_x0000_i1077" type="#_x0000_t75" style="width:9.75pt;height:15pt">
                  <v:imagedata r:id="rId19" o:title=""/>
                </v:shape>
              </w:pict>
            </w:r>
          </w:p>
        </w:tc>
        <w:tc>
          <w:tcPr>
            <w:tcW w:w="976" w:type="dxa"/>
            <w:shd w:val="clear" w:color="auto" w:fill="F2DBDB"/>
          </w:tcPr>
          <w:p w14:paraId="116E824E"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4F263CAF">
                <v:shape id="_x0000_i1078" type="#_x0000_t75" style="width:9.75pt;height:15pt">
                  <v:imagedata r:id="rId19" o:title=""/>
                </v:shape>
              </w:pict>
            </w:r>
            <w:r w:rsidR="00241AAD" w:rsidRPr="00241AAD">
              <w:rPr>
                <w:rFonts w:ascii="Arial" w:hAnsi="Arial" w:cs="Arial"/>
                <w:color w:val="FF0000"/>
                <w:sz w:val="18"/>
                <w:szCs w:val="22"/>
                <w:u w:val="single"/>
                <w:lang w:val="sv-SE" w:eastAsia="en-GB"/>
              </w:rPr>
              <w:t>, 8</w:t>
            </w:r>
          </w:p>
        </w:tc>
        <w:tc>
          <w:tcPr>
            <w:tcW w:w="709" w:type="dxa"/>
            <w:shd w:val="clear" w:color="auto" w:fill="auto"/>
          </w:tcPr>
          <w:p w14:paraId="5789B4E3"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58ED5E67"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34E50488" w14:textId="77777777" w:rsidTr="00241AAD">
        <w:trPr>
          <w:jc w:val="center"/>
        </w:trPr>
        <w:tc>
          <w:tcPr>
            <w:tcW w:w="1121" w:type="dxa"/>
            <w:shd w:val="clear" w:color="auto" w:fill="auto"/>
          </w:tcPr>
          <w:p w14:paraId="59684F1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12</w:t>
            </w:r>
          </w:p>
        </w:tc>
        <w:tc>
          <w:tcPr>
            <w:tcW w:w="851" w:type="dxa"/>
            <w:shd w:val="clear" w:color="auto" w:fill="auto"/>
          </w:tcPr>
          <w:p w14:paraId="11AFF32A"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08F2D7ED">
                <v:shape id="_x0000_i1079" type="#_x0000_t75" style="width:9.75pt;height:15pt">
                  <v:imagedata r:id="rId19" o:title=""/>
                </v:shape>
              </w:pict>
            </w:r>
          </w:p>
        </w:tc>
        <w:tc>
          <w:tcPr>
            <w:tcW w:w="851" w:type="dxa"/>
            <w:shd w:val="clear" w:color="auto" w:fill="auto"/>
          </w:tcPr>
          <w:p w14:paraId="26104DC1"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6752441C">
                <v:shape id="_x0000_i1080" type="#_x0000_t75" style="width:9.75pt;height:15pt">
                  <v:imagedata r:id="rId19" o:title=""/>
                </v:shape>
              </w:pict>
            </w:r>
            <w:r w:rsidR="00241AAD" w:rsidRPr="00241AAD">
              <w:rPr>
                <w:rFonts w:ascii="Arial" w:hAnsi="Arial" w:cs="Arial"/>
                <w:sz w:val="18"/>
                <w:szCs w:val="22"/>
                <w:lang w:val="sv-SE" w:eastAsia="en-GB"/>
              </w:rPr>
              <w:t>, 9</w:t>
            </w:r>
          </w:p>
        </w:tc>
        <w:tc>
          <w:tcPr>
            <w:tcW w:w="1004" w:type="dxa"/>
            <w:shd w:val="clear" w:color="auto" w:fill="auto"/>
          </w:tcPr>
          <w:p w14:paraId="5A83A121"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5A0BDC08">
                <v:shape id="_x0000_i1081"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6, 9</w:t>
            </w:r>
          </w:p>
        </w:tc>
        <w:tc>
          <w:tcPr>
            <w:tcW w:w="1134" w:type="dxa"/>
            <w:shd w:val="clear" w:color="auto" w:fill="auto"/>
          </w:tcPr>
          <w:p w14:paraId="06C95BCA"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14051466">
                <v:shape id="_x0000_i1082"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5, 8, 11</w:t>
            </w:r>
          </w:p>
        </w:tc>
        <w:tc>
          <w:tcPr>
            <w:tcW w:w="725" w:type="dxa"/>
            <w:shd w:val="clear" w:color="auto" w:fill="F2DBDB"/>
          </w:tcPr>
          <w:p w14:paraId="75D2FDF7"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color w:val="FF0000"/>
                <w:sz w:val="18"/>
                <w:szCs w:val="22"/>
                <w:u w:val="single"/>
                <w:lang w:val="sv-SE" w:eastAsia="en-GB"/>
              </w:rPr>
            </w:pPr>
            <w:r>
              <w:rPr>
                <w:rFonts w:ascii="Arial" w:hAnsi="Arial" w:cs="Arial"/>
                <w:color w:val="FF0000"/>
                <w:position w:val="-10"/>
                <w:sz w:val="18"/>
                <w:szCs w:val="22"/>
                <w:u w:val="single"/>
                <w:lang w:val="sv-SE" w:eastAsia="en-GB"/>
              </w:rPr>
              <w:pict w14:anchorId="21EC3957">
                <v:shape id="_x0000_i1083" type="#_x0000_t75" style="width:9.75pt;height:15pt">
                  <v:imagedata r:id="rId19" o:title=""/>
                </v:shape>
              </w:pict>
            </w:r>
          </w:p>
        </w:tc>
        <w:tc>
          <w:tcPr>
            <w:tcW w:w="976" w:type="dxa"/>
            <w:shd w:val="clear" w:color="auto" w:fill="F2DBDB"/>
          </w:tcPr>
          <w:p w14:paraId="3A65E5AA"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7E607F7D">
                <v:shape id="_x0000_i1084" type="#_x0000_t75" style="width:9.75pt;height:15pt">
                  <v:imagedata r:id="rId19" o:title=""/>
                </v:shape>
              </w:pict>
            </w:r>
            <w:r w:rsidR="00241AAD" w:rsidRPr="00241AAD">
              <w:rPr>
                <w:rFonts w:ascii="Arial" w:hAnsi="Arial" w:cs="Arial"/>
                <w:color w:val="FF0000"/>
                <w:sz w:val="18"/>
                <w:szCs w:val="22"/>
                <w:u w:val="single"/>
                <w:lang w:val="sv-SE" w:eastAsia="en-GB"/>
              </w:rPr>
              <w:t>, 10</w:t>
            </w:r>
          </w:p>
        </w:tc>
        <w:tc>
          <w:tcPr>
            <w:tcW w:w="709" w:type="dxa"/>
            <w:shd w:val="clear" w:color="auto" w:fill="auto"/>
          </w:tcPr>
          <w:p w14:paraId="72288B30"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1870A7E0"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61018EF2" w14:textId="77777777" w:rsidTr="00241AAD">
        <w:trPr>
          <w:jc w:val="center"/>
        </w:trPr>
        <w:tc>
          <w:tcPr>
            <w:tcW w:w="1121" w:type="dxa"/>
            <w:shd w:val="clear" w:color="auto" w:fill="auto"/>
          </w:tcPr>
          <w:p w14:paraId="50EBAC2C"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13</w:t>
            </w:r>
          </w:p>
        </w:tc>
        <w:tc>
          <w:tcPr>
            <w:tcW w:w="851" w:type="dxa"/>
            <w:shd w:val="clear" w:color="auto" w:fill="auto"/>
          </w:tcPr>
          <w:p w14:paraId="7C38FADC"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5707EA26">
                <v:shape id="_x0000_i1085" type="#_x0000_t75" style="width:9.75pt;height:15pt">
                  <v:imagedata r:id="rId19" o:title=""/>
                </v:shape>
              </w:pict>
            </w:r>
          </w:p>
        </w:tc>
        <w:tc>
          <w:tcPr>
            <w:tcW w:w="851" w:type="dxa"/>
            <w:shd w:val="clear" w:color="auto" w:fill="auto"/>
          </w:tcPr>
          <w:p w14:paraId="30FCB2D3"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65AEAADD">
                <v:shape id="_x0000_i1086" type="#_x0000_t75" style="width:9.75pt;height:15pt">
                  <v:imagedata r:id="rId19" o:title=""/>
                </v:shape>
              </w:pict>
            </w:r>
            <w:r w:rsidR="00241AAD" w:rsidRPr="00241AAD">
              <w:rPr>
                <w:rFonts w:ascii="Arial" w:hAnsi="Arial" w:cs="Arial"/>
                <w:sz w:val="18"/>
                <w:szCs w:val="22"/>
                <w:lang w:val="sv-SE" w:eastAsia="en-GB"/>
              </w:rPr>
              <w:t xml:space="preserve">, </w:t>
            </w:r>
            <m:oMath>
              <m:sSub>
                <m:sSubPr>
                  <m:ctrlPr>
                    <w:rPr>
                      <w:rFonts w:ascii="Cambria Math" w:hAnsi="Cambria Math" w:cs="Arial"/>
                      <w:i/>
                      <w:sz w:val="18"/>
                      <w:szCs w:val="22"/>
                      <w:lang w:val="sv-SE" w:eastAsia="en-GB"/>
                    </w:rPr>
                  </m:ctrlPr>
                </m:sSubPr>
                <m:e>
                  <m:r>
                    <w:rPr>
                      <w:rFonts w:ascii="Cambria Math" w:hAnsi="Cambria Math" w:cs="Arial"/>
                      <w:sz w:val="18"/>
                      <w:szCs w:val="22"/>
                      <w:lang w:val="sv-SE" w:eastAsia="en-GB"/>
                    </w:rPr>
                    <m:t>l</m:t>
                  </m:r>
                </m:e>
                <m:sub>
                  <m:r>
                    <w:rPr>
                      <w:rFonts w:ascii="Cambria Math" w:hAnsi="Cambria Math" w:cs="Arial"/>
                      <w:sz w:val="18"/>
                      <w:szCs w:val="22"/>
                      <w:lang w:val="sv-SE" w:eastAsia="en-GB"/>
                    </w:rPr>
                    <m:t>1</m:t>
                  </m:r>
                </m:sub>
              </m:sSub>
            </m:oMath>
          </w:p>
        </w:tc>
        <w:tc>
          <w:tcPr>
            <w:tcW w:w="1004" w:type="dxa"/>
            <w:shd w:val="clear" w:color="auto" w:fill="auto"/>
          </w:tcPr>
          <w:p w14:paraId="69650784"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78DDD22C">
                <v:shape id="_x0000_i1087"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7, 11</w:t>
            </w:r>
          </w:p>
        </w:tc>
        <w:tc>
          <w:tcPr>
            <w:tcW w:w="1134" w:type="dxa"/>
            <w:shd w:val="clear" w:color="auto" w:fill="auto"/>
          </w:tcPr>
          <w:p w14:paraId="63DE3C00"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70D4E5C8">
                <v:shape id="_x0000_i1088"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5, 8, 11</w:t>
            </w:r>
          </w:p>
        </w:tc>
        <w:tc>
          <w:tcPr>
            <w:tcW w:w="725" w:type="dxa"/>
            <w:shd w:val="clear" w:color="auto" w:fill="F2DBDB"/>
          </w:tcPr>
          <w:p w14:paraId="5FB0BF2A"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color w:val="FF0000"/>
                <w:sz w:val="18"/>
                <w:szCs w:val="22"/>
                <w:u w:val="single"/>
                <w:lang w:val="sv-SE" w:eastAsia="en-GB"/>
              </w:rPr>
            </w:pPr>
            <w:r>
              <w:rPr>
                <w:rFonts w:ascii="Arial" w:hAnsi="Arial" w:cs="Arial"/>
                <w:color w:val="FF0000"/>
                <w:position w:val="-10"/>
                <w:sz w:val="18"/>
                <w:szCs w:val="22"/>
                <w:u w:val="single"/>
                <w:lang w:val="sv-SE" w:eastAsia="en-GB"/>
              </w:rPr>
              <w:pict w14:anchorId="328016FA">
                <v:shape id="_x0000_i1089" type="#_x0000_t75" style="width:9.75pt;height:15pt">
                  <v:imagedata r:id="rId19" o:title=""/>
                </v:shape>
              </w:pict>
            </w:r>
          </w:p>
        </w:tc>
        <w:tc>
          <w:tcPr>
            <w:tcW w:w="976" w:type="dxa"/>
            <w:shd w:val="clear" w:color="auto" w:fill="F2DBDB"/>
          </w:tcPr>
          <w:p w14:paraId="1AA28F11"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76FE4F41">
                <v:shape id="_x0000_i1090" type="#_x0000_t75" style="width:9.75pt;height:15pt">
                  <v:imagedata r:id="rId19" o:title=""/>
                </v:shape>
              </w:pict>
            </w:r>
            <w:r w:rsidR="00241AAD" w:rsidRPr="00241AAD">
              <w:rPr>
                <w:rFonts w:ascii="Arial" w:hAnsi="Arial" w:cs="Arial"/>
                <w:color w:val="FF0000"/>
                <w:sz w:val="18"/>
                <w:szCs w:val="22"/>
                <w:u w:val="single"/>
                <w:lang w:val="sv-SE" w:eastAsia="en-GB"/>
              </w:rPr>
              <w:t>, 10</w:t>
            </w:r>
          </w:p>
        </w:tc>
        <w:tc>
          <w:tcPr>
            <w:tcW w:w="709" w:type="dxa"/>
            <w:shd w:val="clear" w:color="auto" w:fill="auto"/>
          </w:tcPr>
          <w:p w14:paraId="69574CB9"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55275555"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5EBFD1A4" w14:textId="77777777" w:rsidTr="00241AAD">
        <w:trPr>
          <w:jc w:val="center"/>
        </w:trPr>
        <w:tc>
          <w:tcPr>
            <w:tcW w:w="1121" w:type="dxa"/>
            <w:shd w:val="clear" w:color="auto" w:fill="auto"/>
          </w:tcPr>
          <w:p w14:paraId="13D5B76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14</w:t>
            </w:r>
          </w:p>
        </w:tc>
        <w:tc>
          <w:tcPr>
            <w:tcW w:w="851" w:type="dxa"/>
            <w:shd w:val="clear" w:color="auto" w:fill="auto"/>
          </w:tcPr>
          <w:p w14:paraId="08EA9E74"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15337A09">
                <v:shape id="_x0000_i1091" type="#_x0000_t75" style="width:9.75pt;height:15pt">
                  <v:imagedata r:id="rId19" o:title=""/>
                </v:shape>
              </w:pict>
            </w:r>
          </w:p>
        </w:tc>
        <w:tc>
          <w:tcPr>
            <w:tcW w:w="851" w:type="dxa"/>
            <w:shd w:val="clear" w:color="auto" w:fill="auto"/>
          </w:tcPr>
          <w:p w14:paraId="2BCD710E"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72DD63D6">
                <v:shape id="_x0000_i1092" type="#_x0000_t75" style="width:9.75pt;height:15pt">
                  <v:imagedata r:id="rId19" o:title=""/>
                </v:shape>
              </w:pict>
            </w:r>
            <w:r w:rsidR="00241AAD" w:rsidRPr="00241AAD">
              <w:rPr>
                <w:rFonts w:ascii="Arial" w:hAnsi="Arial" w:cs="Arial"/>
                <w:sz w:val="18"/>
                <w:szCs w:val="22"/>
                <w:lang w:val="sv-SE" w:eastAsia="en-GB"/>
              </w:rPr>
              <w:t xml:space="preserve">, </w:t>
            </w:r>
            <m:oMath>
              <m:sSub>
                <m:sSubPr>
                  <m:ctrlPr>
                    <w:rPr>
                      <w:rFonts w:ascii="Cambria Math" w:hAnsi="Cambria Math" w:cs="Arial"/>
                      <w:i/>
                      <w:sz w:val="18"/>
                      <w:szCs w:val="22"/>
                      <w:lang w:val="sv-SE" w:eastAsia="en-GB"/>
                    </w:rPr>
                  </m:ctrlPr>
                </m:sSubPr>
                <m:e>
                  <m:r>
                    <w:rPr>
                      <w:rFonts w:ascii="Cambria Math" w:hAnsi="Cambria Math" w:cs="Arial"/>
                      <w:sz w:val="18"/>
                      <w:szCs w:val="22"/>
                      <w:lang w:val="sv-SE" w:eastAsia="en-GB"/>
                    </w:rPr>
                    <m:t>l</m:t>
                  </m:r>
                </m:e>
                <m:sub>
                  <m:r>
                    <w:rPr>
                      <w:rFonts w:ascii="Cambria Math" w:hAnsi="Cambria Math" w:cs="Arial"/>
                      <w:sz w:val="18"/>
                      <w:szCs w:val="22"/>
                      <w:lang w:val="sv-SE" w:eastAsia="en-GB"/>
                    </w:rPr>
                    <m:t>1</m:t>
                  </m:r>
                </m:sub>
              </m:sSub>
            </m:oMath>
          </w:p>
        </w:tc>
        <w:tc>
          <w:tcPr>
            <w:tcW w:w="1004" w:type="dxa"/>
            <w:shd w:val="clear" w:color="auto" w:fill="auto"/>
          </w:tcPr>
          <w:p w14:paraId="0376E04F"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324C0E44">
                <v:shape id="_x0000_i1093"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7, 11</w:t>
            </w:r>
          </w:p>
        </w:tc>
        <w:tc>
          <w:tcPr>
            <w:tcW w:w="1134" w:type="dxa"/>
            <w:shd w:val="clear" w:color="auto" w:fill="auto"/>
          </w:tcPr>
          <w:p w14:paraId="0287EF59"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2ACC148E">
                <v:shape id="_x0000_i1094"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5, 8, 11</w:t>
            </w:r>
          </w:p>
        </w:tc>
        <w:tc>
          <w:tcPr>
            <w:tcW w:w="725" w:type="dxa"/>
            <w:shd w:val="clear" w:color="auto" w:fill="F2DBDB"/>
          </w:tcPr>
          <w:p w14:paraId="33F5E919" w14:textId="77777777" w:rsidR="00241AAD" w:rsidRPr="00241AAD" w:rsidRDefault="00D9634F" w:rsidP="00241AAD">
            <w:pPr>
              <w:keepNext/>
              <w:keepLines/>
              <w:overflowPunct/>
              <w:autoSpaceDE/>
              <w:autoSpaceDN/>
              <w:adjustRightInd/>
              <w:spacing w:after="0"/>
              <w:jc w:val="center"/>
              <w:textAlignment w:val="auto"/>
              <w:rPr>
                <w:rFonts w:ascii="Arial" w:hAnsi="Arial" w:cs="Arial"/>
                <w:color w:val="FF0000"/>
                <w:sz w:val="18"/>
                <w:szCs w:val="22"/>
                <w:u w:val="single"/>
                <w:lang w:val="sv-SE" w:eastAsia="en-GB"/>
              </w:rPr>
            </w:pPr>
            <w:r>
              <w:rPr>
                <w:rFonts w:ascii="Arial" w:hAnsi="Arial" w:cs="Arial"/>
                <w:color w:val="FF0000"/>
                <w:position w:val="-10"/>
                <w:sz w:val="18"/>
                <w:szCs w:val="22"/>
                <w:u w:val="single"/>
                <w:lang w:val="sv-SE" w:eastAsia="en-GB"/>
              </w:rPr>
              <w:pict w14:anchorId="723D5ADB">
                <v:shape id="_x0000_i1095" type="#_x0000_t75" style="width:9.75pt;height:15pt">
                  <v:imagedata r:id="rId19" o:title=""/>
                </v:shape>
              </w:pict>
            </w:r>
          </w:p>
        </w:tc>
        <w:tc>
          <w:tcPr>
            <w:tcW w:w="976" w:type="dxa"/>
            <w:shd w:val="clear" w:color="auto" w:fill="F2DBDB"/>
          </w:tcPr>
          <w:p w14:paraId="7BFC2DA9"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36D38A81">
                <v:shape id="_x0000_i1096" type="#_x0000_t75" style="width:9.75pt;height:15pt">
                  <v:imagedata r:id="rId19" o:title=""/>
                </v:shape>
              </w:pict>
            </w:r>
            <w:r w:rsidR="00241AAD" w:rsidRPr="00241AAD">
              <w:rPr>
                <w:rFonts w:ascii="Arial" w:hAnsi="Arial" w:cs="Arial"/>
                <w:color w:val="FF0000"/>
                <w:sz w:val="18"/>
                <w:szCs w:val="22"/>
                <w:u w:val="single"/>
                <w:lang w:val="sv-SE" w:eastAsia="en-GB"/>
              </w:rPr>
              <w:t>, 10</w:t>
            </w:r>
          </w:p>
        </w:tc>
        <w:tc>
          <w:tcPr>
            <w:tcW w:w="709" w:type="dxa"/>
            <w:shd w:val="clear" w:color="auto" w:fill="auto"/>
          </w:tcPr>
          <w:p w14:paraId="1470AB7A"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623" w:type="dxa"/>
            <w:shd w:val="clear" w:color="auto" w:fill="auto"/>
          </w:tcPr>
          <w:p w14:paraId="416F1D32"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bl>
    <w:p w14:paraId="7FDA6F8B" w14:textId="77777777" w:rsidR="00241AAD" w:rsidRPr="00241AAD" w:rsidRDefault="00241AAD" w:rsidP="00241AAD">
      <w:pPr>
        <w:keepNext/>
        <w:keepLines/>
        <w:overflowPunct/>
        <w:autoSpaceDE/>
        <w:autoSpaceDN/>
        <w:adjustRightInd/>
        <w:spacing w:before="60"/>
        <w:jc w:val="center"/>
        <w:textAlignment w:val="auto"/>
        <w:rPr>
          <w:rFonts w:ascii="Calibri" w:hAnsi="Calibri" w:cs="Arial"/>
          <w:b/>
          <w:sz w:val="22"/>
          <w:szCs w:val="22"/>
          <w:lang w:val="sv-SE" w:eastAsia="en-US"/>
        </w:rPr>
      </w:pPr>
    </w:p>
    <w:p w14:paraId="79F62812" w14:textId="0D4D9626" w:rsidR="00241AAD" w:rsidRPr="00241AAD" w:rsidRDefault="00D82AFF" w:rsidP="00D82AFF">
      <w:pPr>
        <w:pStyle w:val="Caption"/>
        <w:jc w:val="center"/>
        <w:rPr>
          <w:rFonts w:ascii="Calibri" w:hAnsi="Calibri" w:cs="Arial"/>
          <w:b w:val="0"/>
          <w:sz w:val="22"/>
          <w:szCs w:val="22"/>
          <w:lang w:val="en-US" w:eastAsia="en-US"/>
        </w:rPr>
      </w:pPr>
      <w:r>
        <w:t xml:space="preserve">Table </w:t>
      </w:r>
      <w:fldSimple w:instr=" SEQ Table \* ARABIC ">
        <w:r w:rsidR="00431AC5">
          <w:rPr>
            <w:noProof/>
          </w:rPr>
          <w:t>2</w:t>
        </w:r>
      </w:fldSimple>
      <w:r>
        <w:t xml:space="preserve"> </w:t>
      </w:r>
      <w:r w:rsidRPr="00D82AFF">
        <w:t>(from 36.211 Table 7.4.1.1.2-4): PDSCH DM-RS positions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241AAD" w:rsidRPr="00241AAD" w14:paraId="34094B0F" w14:textId="77777777" w:rsidTr="00ED0A01">
        <w:trPr>
          <w:jc w:val="center"/>
        </w:trPr>
        <w:tc>
          <w:tcPr>
            <w:tcW w:w="2047" w:type="dxa"/>
            <w:vMerge w:val="restart"/>
            <w:shd w:val="clear" w:color="auto" w:fill="auto"/>
          </w:tcPr>
          <w:p w14:paraId="736C2F0D"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m:oMath>
              <m:sSub>
                <m:sSubPr>
                  <m:ctrlPr>
                    <w:rPr>
                      <w:rFonts w:ascii="Cambria Math" w:hAnsi="Cambria Math" w:cs="Arial"/>
                      <w:i/>
                      <w:sz w:val="22"/>
                      <w:szCs w:val="22"/>
                      <w:lang w:val="sv-SE" w:eastAsia="en-GB"/>
                    </w:rPr>
                  </m:ctrlPr>
                </m:sSubPr>
                <m:e>
                  <m:r>
                    <w:rPr>
                      <w:rFonts w:ascii="Cambria Math" w:hAnsi="Cambria Math" w:cs="Arial"/>
                      <w:sz w:val="22"/>
                      <w:szCs w:val="22"/>
                      <w:lang w:val="sv-SE" w:eastAsia="en-GB"/>
                    </w:rPr>
                    <m:t>l</m:t>
                  </m:r>
                </m:e>
                <m:sub>
                  <m:r>
                    <m:rPr>
                      <m:nor/>
                    </m:rPr>
                    <w:rPr>
                      <w:rFonts w:ascii="Cambria Math" w:hAnsi="Cambria Math" w:cs="Arial"/>
                      <w:sz w:val="22"/>
                      <w:szCs w:val="22"/>
                      <w:lang w:val="sv-SE" w:eastAsia="en-GB"/>
                    </w:rPr>
                    <m:t>d</m:t>
                  </m:r>
                </m:sub>
              </m:sSub>
            </m:oMath>
            <w:r w:rsidR="00241AAD" w:rsidRPr="00241AAD">
              <w:rPr>
                <w:rFonts w:ascii="Arial" w:eastAsia="Batang" w:hAnsi="Arial" w:cs="Arial"/>
                <w:b/>
                <w:sz w:val="18"/>
                <w:szCs w:val="22"/>
                <w:lang w:val="sv-SE" w:eastAsia="en-GB"/>
              </w:rPr>
              <w:t xml:space="preserve"> in symbols</w:t>
            </w:r>
          </w:p>
        </w:tc>
        <w:tc>
          <w:tcPr>
            <w:tcW w:w="5106" w:type="dxa"/>
            <w:gridSpan w:val="6"/>
            <w:tcBorders>
              <w:bottom w:val="nil"/>
            </w:tcBorders>
            <w:shd w:val="clear" w:color="auto" w:fill="auto"/>
            <w:vAlign w:val="bottom"/>
          </w:tcPr>
          <w:p w14:paraId="1855F0F3"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 xml:space="preserve">DM-RS positions </w:t>
            </w:r>
            <w:r w:rsidR="00D9634F">
              <w:rPr>
                <w:rFonts w:ascii="Arial" w:eastAsia="Batang" w:hAnsi="Arial" w:cs="Arial"/>
                <w:b/>
                <w:position w:val="-6"/>
                <w:sz w:val="18"/>
                <w:szCs w:val="22"/>
                <w:lang w:val="sv-SE" w:eastAsia="en-GB"/>
              </w:rPr>
              <w:pict w14:anchorId="6C6F1202">
                <v:shape id="_x0000_i1097" type="#_x0000_t75" style="width:8.25pt;height:15pt">
                  <v:imagedata r:id="rId20" o:title=""/>
                </v:shape>
              </w:pict>
            </w:r>
          </w:p>
        </w:tc>
      </w:tr>
      <w:tr w:rsidR="00241AAD" w:rsidRPr="00241AAD" w14:paraId="1C3726FC" w14:textId="77777777" w:rsidTr="00ED0A01">
        <w:trPr>
          <w:jc w:val="center"/>
        </w:trPr>
        <w:tc>
          <w:tcPr>
            <w:tcW w:w="2047" w:type="dxa"/>
            <w:vMerge/>
            <w:shd w:val="clear" w:color="auto" w:fill="auto"/>
          </w:tcPr>
          <w:p w14:paraId="63913B70"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p>
        </w:tc>
        <w:tc>
          <w:tcPr>
            <w:tcW w:w="2553" w:type="dxa"/>
            <w:gridSpan w:val="3"/>
            <w:tcBorders>
              <w:top w:val="nil"/>
            </w:tcBorders>
            <w:shd w:val="clear" w:color="auto" w:fill="auto"/>
            <w:vAlign w:val="bottom"/>
          </w:tcPr>
          <w:p w14:paraId="55A23258"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PDSCH mapping type A</w:t>
            </w:r>
          </w:p>
        </w:tc>
        <w:tc>
          <w:tcPr>
            <w:tcW w:w="2553" w:type="dxa"/>
            <w:gridSpan w:val="3"/>
            <w:tcBorders>
              <w:top w:val="nil"/>
            </w:tcBorders>
            <w:shd w:val="clear" w:color="auto" w:fill="auto"/>
            <w:vAlign w:val="bottom"/>
          </w:tcPr>
          <w:p w14:paraId="4A724112"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PDSCH mapping type B</w:t>
            </w:r>
          </w:p>
        </w:tc>
      </w:tr>
      <w:tr w:rsidR="00241AAD" w:rsidRPr="00241AAD" w14:paraId="7B883214" w14:textId="77777777" w:rsidTr="00ED0A01">
        <w:trPr>
          <w:jc w:val="center"/>
        </w:trPr>
        <w:tc>
          <w:tcPr>
            <w:tcW w:w="2047" w:type="dxa"/>
            <w:vMerge/>
            <w:shd w:val="clear" w:color="auto" w:fill="auto"/>
          </w:tcPr>
          <w:p w14:paraId="0ADF440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p>
        </w:tc>
        <w:tc>
          <w:tcPr>
            <w:tcW w:w="2553" w:type="dxa"/>
            <w:gridSpan w:val="3"/>
            <w:tcBorders>
              <w:bottom w:val="nil"/>
            </w:tcBorders>
            <w:shd w:val="clear" w:color="auto" w:fill="auto"/>
            <w:vAlign w:val="bottom"/>
          </w:tcPr>
          <w:p w14:paraId="32426A89"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dmrs-AdditionalPosition</w:t>
            </w:r>
          </w:p>
        </w:tc>
        <w:tc>
          <w:tcPr>
            <w:tcW w:w="2553" w:type="dxa"/>
            <w:gridSpan w:val="3"/>
            <w:tcBorders>
              <w:bottom w:val="nil"/>
            </w:tcBorders>
            <w:shd w:val="clear" w:color="auto" w:fill="auto"/>
            <w:vAlign w:val="bottom"/>
          </w:tcPr>
          <w:p w14:paraId="38FDCC02"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dmrs-AdditionalPosition</w:t>
            </w:r>
          </w:p>
        </w:tc>
      </w:tr>
      <w:tr w:rsidR="00241AAD" w:rsidRPr="00241AAD" w14:paraId="50A3FE67" w14:textId="77777777" w:rsidTr="00ED0A01">
        <w:trPr>
          <w:jc w:val="center"/>
        </w:trPr>
        <w:tc>
          <w:tcPr>
            <w:tcW w:w="2047" w:type="dxa"/>
            <w:vMerge/>
            <w:shd w:val="clear" w:color="auto" w:fill="auto"/>
          </w:tcPr>
          <w:p w14:paraId="32F622C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p>
        </w:tc>
        <w:tc>
          <w:tcPr>
            <w:tcW w:w="851" w:type="dxa"/>
            <w:tcBorders>
              <w:top w:val="nil"/>
            </w:tcBorders>
            <w:shd w:val="clear" w:color="auto" w:fill="auto"/>
          </w:tcPr>
          <w:p w14:paraId="27A1DDE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0</w:t>
            </w:r>
          </w:p>
        </w:tc>
        <w:tc>
          <w:tcPr>
            <w:tcW w:w="851" w:type="dxa"/>
            <w:tcBorders>
              <w:top w:val="nil"/>
            </w:tcBorders>
            <w:shd w:val="clear" w:color="auto" w:fill="auto"/>
          </w:tcPr>
          <w:p w14:paraId="07CBA392"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1</w:t>
            </w:r>
          </w:p>
        </w:tc>
        <w:tc>
          <w:tcPr>
            <w:tcW w:w="851" w:type="dxa"/>
            <w:tcBorders>
              <w:top w:val="nil"/>
            </w:tcBorders>
            <w:shd w:val="clear" w:color="auto" w:fill="auto"/>
          </w:tcPr>
          <w:p w14:paraId="2A4EBCAE"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2</w:t>
            </w:r>
          </w:p>
        </w:tc>
        <w:tc>
          <w:tcPr>
            <w:tcW w:w="851" w:type="dxa"/>
            <w:tcBorders>
              <w:top w:val="nil"/>
            </w:tcBorders>
            <w:shd w:val="clear" w:color="auto" w:fill="auto"/>
          </w:tcPr>
          <w:p w14:paraId="29A9323C"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0</w:t>
            </w:r>
          </w:p>
        </w:tc>
        <w:tc>
          <w:tcPr>
            <w:tcW w:w="851" w:type="dxa"/>
            <w:tcBorders>
              <w:top w:val="nil"/>
            </w:tcBorders>
            <w:shd w:val="clear" w:color="auto" w:fill="auto"/>
          </w:tcPr>
          <w:p w14:paraId="5AF8E529"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1</w:t>
            </w:r>
          </w:p>
        </w:tc>
        <w:tc>
          <w:tcPr>
            <w:tcW w:w="851" w:type="dxa"/>
            <w:tcBorders>
              <w:top w:val="nil"/>
            </w:tcBorders>
            <w:shd w:val="clear" w:color="auto" w:fill="auto"/>
          </w:tcPr>
          <w:p w14:paraId="197C4D08"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b/>
                <w:sz w:val="18"/>
                <w:szCs w:val="22"/>
                <w:lang w:val="sv-SE" w:eastAsia="en-GB"/>
              </w:rPr>
            </w:pPr>
            <w:r w:rsidRPr="00241AAD">
              <w:rPr>
                <w:rFonts w:ascii="Arial" w:eastAsia="Batang" w:hAnsi="Arial" w:cs="Arial"/>
                <w:b/>
                <w:sz w:val="18"/>
                <w:szCs w:val="22"/>
                <w:lang w:val="sv-SE" w:eastAsia="en-GB"/>
              </w:rPr>
              <w:t>2</w:t>
            </w:r>
          </w:p>
        </w:tc>
      </w:tr>
      <w:tr w:rsidR="00241AAD" w:rsidRPr="00241AAD" w14:paraId="5A2EE18F" w14:textId="77777777" w:rsidTr="00ED0A01">
        <w:trPr>
          <w:jc w:val="center"/>
        </w:trPr>
        <w:tc>
          <w:tcPr>
            <w:tcW w:w="2047" w:type="dxa"/>
            <w:shd w:val="clear" w:color="auto" w:fill="auto"/>
          </w:tcPr>
          <w:p w14:paraId="3E638EBC" w14:textId="77777777" w:rsidR="00241AAD" w:rsidRPr="00241AAD" w:rsidDel="00317D3F"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&lt;4</w:t>
            </w:r>
          </w:p>
        </w:tc>
        <w:tc>
          <w:tcPr>
            <w:tcW w:w="851" w:type="dxa"/>
            <w:shd w:val="clear" w:color="auto" w:fill="auto"/>
          </w:tcPr>
          <w:p w14:paraId="0C67898F" w14:textId="77777777" w:rsidR="00241AAD" w:rsidRPr="00241AAD" w:rsidRDefault="00241AAD" w:rsidP="00241AAD">
            <w:pPr>
              <w:keepNext/>
              <w:keepLines/>
              <w:overflowPunct/>
              <w:autoSpaceDE/>
              <w:autoSpaceDN/>
              <w:adjustRightInd/>
              <w:spacing w:after="0"/>
              <w:jc w:val="center"/>
              <w:textAlignment w:val="auto"/>
              <w:rPr>
                <w:rFonts w:ascii="Arial" w:hAnsi="Arial" w:cs="Arial"/>
                <w:sz w:val="18"/>
                <w:szCs w:val="22"/>
                <w:lang w:val="sv-SE" w:eastAsia="en-GB"/>
              </w:rPr>
            </w:pPr>
          </w:p>
        </w:tc>
        <w:tc>
          <w:tcPr>
            <w:tcW w:w="851" w:type="dxa"/>
            <w:shd w:val="clear" w:color="auto" w:fill="auto"/>
          </w:tcPr>
          <w:p w14:paraId="7B14DC75"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auto"/>
          </w:tcPr>
          <w:p w14:paraId="6A5A6678"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auto"/>
          </w:tcPr>
          <w:p w14:paraId="2919EE13" w14:textId="77777777" w:rsidR="00241AAD" w:rsidRPr="00241AAD" w:rsidRDefault="00241AAD" w:rsidP="00241AAD">
            <w:pPr>
              <w:keepNext/>
              <w:keepLines/>
              <w:overflowPunct/>
              <w:autoSpaceDE/>
              <w:autoSpaceDN/>
              <w:adjustRightInd/>
              <w:spacing w:after="0"/>
              <w:jc w:val="center"/>
              <w:textAlignment w:val="auto"/>
              <w:rPr>
                <w:rFonts w:ascii="Arial" w:hAnsi="Arial" w:cs="Arial"/>
                <w:sz w:val="18"/>
                <w:szCs w:val="22"/>
                <w:lang w:val="sv-SE" w:eastAsia="en-GB"/>
              </w:rPr>
            </w:pPr>
            <w:r w:rsidRPr="00241AAD">
              <w:rPr>
                <w:rFonts w:ascii="Arial" w:hAnsi="Arial" w:cs="Arial"/>
                <w:sz w:val="18"/>
                <w:szCs w:val="22"/>
                <w:lang w:val="sv-SE" w:eastAsia="en-GB"/>
              </w:rPr>
              <w:t>-</w:t>
            </w:r>
          </w:p>
        </w:tc>
        <w:tc>
          <w:tcPr>
            <w:tcW w:w="851" w:type="dxa"/>
            <w:shd w:val="clear" w:color="auto" w:fill="auto"/>
          </w:tcPr>
          <w:p w14:paraId="62CF18A1"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w:t>
            </w:r>
          </w:p>
        </w:tc>
        <w:tc>
          <w:tcPr>
            <w:tcW w:w="851" w:type="dxa"/>
            <w:shd w:val="clear" w:color="auto" w:fill="auto"/>
          </w:tcPr>
          <w:p w14:paraId="3DF0CE80"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1DF79A73" w14:textId="77777777" w:rsidTr="00241AAD">
        <w:trPr>
          <w:jc w:val="center"/>
        </w:trPr>
        <w:tc>
          <w:tcPr>
            <w:tcW w:w="2047" w:type="dxa"/>
            <w:shd w:val="clear" w:color="auto" w:fill="auto"/>
          </w:tcPr>
          <w:p w14:paraId="53901BB7" w14:textId="77777777" w:rsidR="00241AAD" w:rsidRPr="00241AAD" w:rsidDel="00317D3F"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4</w:t>
            </w:r>
          </w:p>
        </w:tc>
        <w:tc>
          <w:tcPr>
            <w:tcW w:w="851" w:type="dxa"/>
            <w:shd w:val="clear" w:color="auto" w:fill="auto"/>
          </w:tcPr>
          <w:p w14:paraId="5A84237B"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7C12C28C">
                <v:shape id="_x0000_i1098" type="#_x0000_t75" style="width:9.75pt;height:15pt">
                  <v:imagedata r:id="rId19" o:title=""/>
                </v:shape>
              </w:pict>
            </w:r>
          </w:p>
        </w:tc>
        <w:tc>
          <w:tcPr>
            <w:tcW w:w="851" w:type="dxa"/>
            <w:shd w:val="clear" w:color="auto" w:fill="auto"/>
          </w:tcPr>
          <w:p w14:paraId="1A520405"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76BE5D62">
                <v:shape id="_x0000_i1099" type="#_x0000_t75" style="width:9.75pt;height:15pt">
                  <v:imagedata r:id="rId19" o:title=""/>
                </v:shape>
              </w:pict>
            </w:r>
          </w:p>
        </w:tc>
        <w:tc>
          <w:tcPr>
            <w:tcW w:w="851" w:type="dxa"/>
            <w:shd w:val="clear" w:color="auto" w:fill="auto"/>
          </w:tcPr>
          <w:p w14:paraId="57710197"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F2DBDB"/>
          </w:tcPr>
          <w:p w14:paraId="2556EC87"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color w:val="FF0000"/>
                <w:position w:val="-10"/>
                <w:sz w:val="18"/>
                <w:szCs w:val="22"/>
                <w:u w:val="single"/>
                <w:lang w:val="sv-SE" w:eastAsia="en-GB"/>
              </w:rPr>
              <w:pict w14:anchorId="0011616E">
                <v:shape id="_x0000_i1100" type="#_x0000_t75" style="width:9.75pt;height:15pt">
                  <v:imagedata r:id="rId19" o:title=""/>
                </v:shape>
              </w:pict>
            </w:r>
          </w:p>
        </w:tc>
        <w:tc>
          <w:tcPr>
            <w:tcW w:w="851" w:type="dxa"/>
            <w:shd w:val="clear" w:color="auto" w:fill="auto"/>
          </w:tcPr>
          <w:p w14:paraId="12BCB563"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w:t>
            </w:r>
          </w:p>
        </w:tc>
        <w:tc>
          <w:tcPr>
            <w:tcW w:w="851" w:type="dxa"/>
            <w:shd w:val="clear" w:color="auto" w:fill="auto"/>
          </w:tcPr>
          <w:p w14:paraId="6C874F3C"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3E0E3E20" w14:textId="77777777" w:rsidTr="00241AAD">
        <w:trPr>
          <w:jc w:val="center"/>
        </w:trPr>
        <w:tc>
          <w:tcPr>
            <w:tcW w:w="2047" w:type="dxa"/>
            <w:shd w:val="clear" w:color="auto" w:fill="auto"/>
          </w:tcPr>
          <w:p w14:paraId="3EECE5C0" w14:textId="77777777" w:rsidR="00241AAD" w:rsidRPr="00241AAD" w:rsidDel="00317D3F"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5</w:t>
            </w:r>
          </w:p>
        </w:tc>
        <w:tc>
          <w:tcPr>
            <w:tcW w:w="851" w:type="dxa"/>
            <w:shd w:val="clear" w:color="auto" w:fill="auto"/>
          </w:tcPr>
          <w:p w14:paraId="2136C487"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35D370EF">
                <v:shape id="_x0000_i1101" type="#_x0000_t75" style="width:9.75pt;height:15pt">
                  <v:imagedata r:id="rId19" o:title=""/>
                </v:shape>
              </w:pict>
            </w:r>
          </w:p>
        </w:tc>
        <w:tc>
          <w:tcPr>
            <w:tcW w:w="851" w:type="dxa"/>
            <w:shd w:val="clear" w:color="auto" w:fill="auto"/>
          </w:tcPr>
          <w:p w14:paraId="4D1E3759"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0BA04E9B">
                <v:shape id="_x0000_i1102" type="#_x0000_t75" style="width:9.75pt;height:15pt">
                  <v:imagedata r:id="rId19" o:title=""/>
                </v:shape>
              </w:pict>
            </w:r>
          </w:p>
        </w:tc>
        <w:tc>
          <w:tcPr>
            <w:tcW w:w="851" w:type="dxa"/>
            <w:shd w:val="clear" w:color="auto" w:fill="auto"/>
          </w:tcPr>
          <w:p w14:paraId="1B3E360A"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F2DBDB"/>
          </w:tcPr>
          <w:p w14:paraId="3CABD5E8" w14:textId="77777777" w:rsidR="00241AAD" w:rsidRPr="00241AAD" w:rsidRDefault="00241AAD" w:rsidP="00241AAD">
            <w:pPr>
              <w:keepNext/>
              <w:keepLines/>
              <w:overflowPunct/>
              <w:autoSpaceDE/>
              <w:autoSpaceDN/>
              <w:adjustRightInd/>
              <w:spacing w:after="0"/>
              <w:jc w:val="center"/>
              <w:textAlignment w:val="auto"/>
              <w:rPr>
                <w:rFonts w:ascii="Arial" w:hAnsi="Arial" w:cs="Arial"/>
                <w:sz w:val="18"/>
                <w:szCs w:val="22"/>
                <w:lang w:val="sv-SE" w:eastAsia="en-GB"/>
              </w:rPr>
            </w:pPr>
            <w:r w:rsidRPr="00241AAD">
              <w:rPr>
                <w:rFonts w:ascii="Arial" w:hAnsi="Arial" w:cs="Arial"/>
                <w:color w:val="FF0000"/>
                <w:position w:val="-10"/>
                <w:sz w:val="18"/>
                <w:szCs w:val="22"/>
                <w:u w:val="single"/>
                <w:lang w:val="sv-SE" w:eastAsia="en-GB"/>
              </w:rPr>
              <w:drawing>
                <wp:inline distT="0" distB="0" distL="0" distR="0" wp14:anchorId="39053569" wp14:editId="17DEC5AE">
                  <wp:extent cx="140970" cy="1911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851" w:type="dxa"/>
            <w:shd w:val="clear" w:color="auto" w:fill="auto"/>
          </w:tcPr>
          <w:p w14:paraId="2739E892"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w:t>
            </w:r>
          </w:p>
        </w:tc>
        <w:tc>
          <w:tcPr>
            <w:tcW w:w="851" w:type="dxa"/>
            <w:shd w:val="clear" w:color="auto" w:fill="auto"/>
          </w:tcPr>
          <w:p w14:paraId="739BE0DC"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0C9FB4B5" w14:textId="77777777" w:rsidTr="00ED0A01">
        <w:trPr>
          <w:jc w:val="center"/>
        </w:trPr>
        <w:tc>
          <w:tcPr>
            <w:tcW w:w="2047" w:type="dxa"/>
            <w:shd w:val="clear" w:color="auto" w:fill="auto"/>
          </w:tcPr>
          <w:p w14:paraId="4372222C" w14:textId="77777777" w:rsidR="00241AAD" w:rsidRPr="00241AAD" w:rsidDel="00317D3F"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6</w:t>
            </w:r>
          </w:p>
        </w:tc>
        <w:tc>
          <w:tcPr>
            <w:tcW w:w="851" w:type="dxa"/>
            <w:shd w:val="clear" w:color="auto" w:fill="auto"/>
          </w:tcPr>
          <w:p w14:paraId="0C95D5F1"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1FF43FE4">
                <v:shape id="_x0000_i1103" type="#_x0000_t75" style="width:9.75pt;height:15pt">
                  <v:imagedata r:id="rId19" o:title=""/>
                </v:shape>
              </w:pict>
            </w:r>
          </w:p>
        </w:tc>
        <w:tc>
          <w:tcPr>
            <w:tcW w:w="851" w:type="dxa"/>
            <w:shd w:val="clear" w:color="auto" w:fill="auto"/>
          </w:tcPr>
          <w:p w14:paraId="6B3D3DDD"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7843CE6A">
                <v:shape id="_x0000_i1104" type="#_x0000_t75" style="width:9.75pt;height:15pt">
                  <v:imagedata r:id="rId19" o:title=""/>
                </v:shape>
              </w:pict>
            </w:r>
          </w:p>
        </w:tc>
        <w:tc>
          <w:tcPr>
            <w:tcW w:w="851" w:type="dxa"/>
            <w:shd w:val="clear" w:color="auto" w:fill="auto"/>
          </w:tcPr>
          <w:p w14:paraId="277B33C8"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auto"/>
          </w:tcPr>
          <w:p w14:paraId="3C7E5A18" w14:textId="77777777" w:rsidR="00241AAD" w:rsidRPr="00241AAD" w:rsidRDefault="00241AAD" w:rsidP="00241AAD">
            <w:pPr>
              <w:keepNext/>
              <w:keepLines/>
              <w:overflowPunct/>
              <w:autoSpaceDE/>
              <w:autoSpaceDN/>
              <w:adjustRightInd/>
              <w:spacing w:after="0"/>
              <w:jc w:val="center"/>
              <w:textAlignment w:val="auto"/>
              <w:rPr>
                <w:rFonts w:ascii="Arial" w:hAnsi="Arial" w:cs="Arial"/>
                <w:sz w:val="18"/>
                <w:szCs w:val="22"/>
                <w:lang w:val="sv-SE" w:eastAsia="en-GB"/>
              </w:rPr>
            </w:pPr>
            <w:r w:rsidRPr="00241AAD">
              <w:rPr>
                <w:rFonts w:ascii="Arial" w:hAnsi="Arial" w:cs="Arial"/>
                <w:position w:val="-10"/>
                <w:sz w:val="18"/>
                <w:szCs w:val="22"/>
                <w:lang w:val="sv-SE" w:eastAsia="en-GB"/>
              </w:rPr>
              <w:drawing>
                <wp:inline distT="0" distB="0" distL="0" distR="0" wp14:anchorId="58525118" wp14:editId="68FDD7FD">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6532DC6"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hAnsi="Arial" w:cs="Arial"/>
                <w:position w:val="-10"/>
                <w:sz w:val="18"/>
                <w:szCs w:val="22"/>
                <w:lang w:val="sv-SE" w:eastAsia="en-GB"/>
              </w:rPr>
              <w:drawing>
                <wp:inline distT="0" distB="0" distL="0" distR="0" wp14:anchorId="6D53EFAE" wp14:editId="481EE032">
                  <wp:extent cx="1416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00FE3B7"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7AA5A19C" w14:textId="77777777" w:rsidTr="00ED0A01">
        <w:trPr>
          <w:jc w:val="center"/>
        </w:trPr>
        <w:tc>
          <w:tcPr>
            <w:tcW w:w="2047" w:type="dxa"/>
            <w:shd w:val="clear" w:color="auto" w:fill="auto"/>
          </w:tcPr>
          <w:p w14:paraId="65E43355"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7</w:t>
            </w:r>
          </w:p>
        </w:tc>
        <w:tc>
          <w:tcPr>
            <w:tcW w:w="851" w:type="dxa"/>
            <w:shd w:val="clear" w:color="auto" w:fill="auto"/>
          </w:tcPr>
          <w:p w14:paraId="7E922AD4"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5C52A860">
                <v:shape id="_x0000_i1105" type="#_x0000_t75" style="width:9.75pt;height:15pt">
                  <v:imagedata r:id="rId19" o:title=""/>
                </v:shape>
              </w:pict>
            </w:r>
          </w:p>
        </w:tc>
        <w:tc>
          <w:tcPr>
            <w:tcW w:w="851" w:type="dxa"/>
            <w:shd w:val="clear" w:color="auto" w:fill="auto"/>
          </w:tcPr>
          <w:p w14:paraId="4881F6E2"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6A124C0E">
                <v:shape id="_x0000_i1106" type="#_x0000_t75" style="width:9.75pt;height:15pt">
                  <v:imagedata r:id="rId19" o:title=""/>
                </v:shape>
              </w:pict>
            </w:r>
          </w:p>
        </w:tc>
        <w:tc>
          <w:tcPr>
            <w:tcW w:w="851" w:type="dxa"/>
            <w:shd w:val="clear" w:color="auto" w:fill="auto"/>
          </w:tcPr>
          <w:p w14:paraId="3CE91D49"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auto"/>
          </w:tcPr>
          <w:p w14:paraId="5615438C"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5AFCA57A">
                <v:shape id="_x0000_i1107" type="#_x0000_t75" style="width:9.75pt;height:15pt">
                  <v:imagedata r:id="rId19" o:title=""/>
                </v:shape>
              </w:pict>
            </w:r>
          </w:p>
        </w:tc>
        <w:tc>
          <w:tcPr>
            <w:tcW w:w="851" w:type="dxa"/>
            <w:shd w:val="clear" w:color="auto" w:fill="auto"/>
          </w:tcPr>
          <w:p w14:paraId="08CD3D63"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296524D8">
                <v:shape id="_x0000_i1108" type="#_x0000_t75" style="width:9.75pt;height:15pt">
                  <v:imagedata r:id="rId19" o:title=""/>
                </v:shape>
              </w:pict>
            </w:r>
          </w:p>
        </w:tc>
        <w:tc>
          <w:tcPr>
            <w:tcW w:w="851" w:type="dxa"/>
            <w:shd w:val="clear" w:color="auto" w:fill="auto"/>
          </w:tcPr>
          <w:p w14:paraId="44B8A52E"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43E32DB4" w14:textId="77777777" w:rsidTr="00241AAD">
        <w:trPr>
          <w:jc w:val="center"/>
        </w:trPr>
        <w:tc>
          <w:tcPr>
            <w:tcW w:w="2047" w:type="dxa"/>
            <w:shd w:val="clear" w:color="auto" w:fill="auto"/>
          </w:tcPr>
          <w:p w14:paraId="3F35DDF3"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8</w:t>
            </w:r>
          </w:p>
        </w:tc>
        <w:tc>
          <w:tcPr>
            <w:tcW w:w="851" w:type="dxa"/>
            <w:shd w:val="clear" w:color="auto" w:fill="auto"/>
          </w:tcPr>
          <w:p w14:paraId="10908BEC"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28433F0C">
                <v:shape id="_x0000_i1109" type="#_x0000_t75" style="width:9.75pt;height:15pt">
                  <v:imagedata r:id="rId19" o:title=""/>
                </v:shape>
              </w:pict>
            </w:r>
          </w:p>
        </w:tc>
        <w:tc>
          <w:tcPr>
            <w:tcW w:w="851" w:type="dxa"/>
            <w:shd w:val="clear" w:color="auto" w:fill="auto"/>
          </w:tcPr>
          <w:p w14:paraId="14548BA4"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36D67B43">
                <v:shape id="_x0000_i1110" type="#_x0000_t75" style="width:9.75pt;height:15pt">
                  <v:imagedata r:id="rId19" o:title=""/>
                </v:shape>
              </w:pict>
            </w:r>
          </w:p>
        </w:tc>
        <w:tc>
          <w:tcPr>
            <w:tcW w:w="851" w:type="dxa"/>
            <w:shd w:val="clear" w:color="auto" w:fill="auto"/>
          </w:tcPr>
          <w:p w14:paraId="0A7DE12E"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F2DBDB"/>
          </w:tcPr>
          <w:p w14:paraId="1A3469F2"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5D439341">
                <v:shape id="_x0000_i1111" type="#_x0000_t75" style="width:9.75pt;height:15pt">
                  <v:imagedata r:id="rId19" o:title=""/>
                </v:shape>
              </w:pict>
            </w:r>
          </w:p>
        </w:tc>
        <w:tc>
          <w:tcPr>
            <w:tcW w:w="851" w:type="dxa"/>
            <w:shd w:val="clear" w:color="auto" w:fill="F2DBDB"/>
          </w:tcPr>
          <w:p w14:paraId="67D12049"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0474FD42">
                <v:shape id="_x0000_i1112" type="#_x0000_t75" style="width:9.75pt;height:15pt">
                  <v:imagedata r:id="rId19" o:title=""/>
                </v:shape>
              </w:pict>
            </w:r>
            <w:r w:rsidR="00241AAD" w:rsidRPr="00241AAD">
              <w:rPr>
                <w:rFonts w:ascii="Arial" w:hAnsi="Arial" w:cs="Arial"/>
                <w:color w:val="FF0000"/>
                <w:sz w:val="18"/>
                <w:szCs w:val="22"/>
                <w:u w:val="single"/>
                <w:lang w:val="sv-SE" w:eastAsia="en-GB"/>
              </w:rPr>
              <w:t>, 5</w:t>
            </w:r>
          </w:p>
        </w:tc>
        <w:tc>
          <w:tcPr>
            <w:tcW w:w="851" w:type="dxa"/>
            <w:shd w:val="clear" w:color="auto" w:fill="auto"/>
          </w:tcPr>
          <w:p w14:paraId="5CD07346"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0F7C5AA7" w14:textId="77777777" w:rsidTr="00241AAD">
        <w:trPr>
          <w:jc w:val="center"/>
        </w:trPr>
        <w:tc>
          <w:tcPr>
            <w:tcW w:w="2047" w:type="dxa"/>
            <w:shd w:val="clear" w:color="auto" w:fill="auto"/>
          </w:tcPr>
          <w:p w14:paraId="7D5D3418"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9</w:t>
            </w:r>
          </w:p>
        </w:tc>
        <w:tc>
          <w:tcPr>
            <w:tcW w:w="851" w:type="dxa"/>
            <w:shd w:val="clear" w:color="auto" w:fill="auto"/>
          </w:tcPr>
          <w:p w14:paraId="7BA47786"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17247BE2">
                <v:shape id="_x0000_i1113" type="#_x0000_t75" style="width:9.75pt;height:15pt">
                  <v:imagedata r:id="rId19" o:title=""/>
                </v:shape>
              </w:pict>
            </w:r>
          </w:p>
        </w:tc>
        <w:tc>
          <w:tcPr>
            <w:tcW w:w="851" w:type="dxa"/>
            <w:shd w:val="clear" w:color="auto" w:fill="auto"/>
          </w:tcPr>
          <w:p w14:paraId="6F8A44CA"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6DB15BB3">
                <v:shape id="_x0000_i1114" type="#_x0000_t75" style="width:9.75pt;height:15pt">
                  <v:imagedata r:id="rId19" o:title=""/>
                </v:shape>
              </w:pict>
            </w:r>
          </w:p>
        </w:tc>
        <w:tc>
          <w:tcPr>
            <w:tcW w:w="851" w:type="dxa"/>
            <w:shd w:val="clear" w:color="auto" w:fill="auto"/>
          </w:tcPr>
          <w:p w14:paraId="267DF5FE"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F2DBDB"/>
          </w:tcPr>
          <w:p w14:paraId="4952C772"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4817D09F">
                <v:shape id="_x0000_i1115" type="#_x0000_t75" style="width:9.75pt;height:15pt">
                  <v:imagedata r:id="rId19" o:title=""/>
                </v:shape>
              </w:pict>
            </w:r>
          </w:p>
        </w:tc>
        <w:tc>
          <w:tcPr>
            <w:tcW w:w="851" w:type="dxa"/>
            <w:shd w:val="clear" w:color="auto" w:fill="F2DBDB"/>
          </w:tcPr>
          <w:p w14:paraId="07BA46C5"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54AB417F">
                <v:shape id="_x0000_i1116" type="#_x0000_t75" style="width:9.75pt;height:15pt">
                  <v:imagedata r:id="rId19" o:title=""/>
                </v:shape>
              </w:pict>
            </w:r>
            <w:r w:rsidR="00241AAD" w:rsidRPr="00241AAD">
              <w:rPr>
                <w:rFonts w:ascii="Arial" w:hAnsi="Arial" w:cs="Arial"/>
                <w:color w:val="FF0000"/>
                <w:sz w:val="18"/>
                <w:szCs w:val="22"/>
                <w:u w:val="single"/>
                <w:lang w:val="sv-SE" w:eastAsia="en-GB"/>
              </w:rPr>
              <w:t xml:space="preserve">, </w:t>
            </w:r>
            <w:r w:rsidR="00241AAD" w:rsidRPr="00241AAD">
              <w:rPr>
                <w:rFonts w:ascii="Arial" w:eastAsia="Batang" w:hAnsi="Arial" w:cs="Arial"/>
                <w:color w:val="FF0000"/>
                <w:sz w:val="18"/>
                <w:szCs w:val="22"/>
                <w:u w:val="single"/>
                <w:lang w:val="sv-SE" w:eastAsia="en-GB"/>
              </w:rPr>
              <w:t>7</w:t>
            </w:r>
          </w:p>
        </w:tc>
        <w:tc>
          <w:tcPr>
            <w:tcW w:w="851" w:type="dxa"/>
            <w:shd w:val="clear" w:color="auto" w:fill="auto"/>
          </w:tcPr>
          <w:p w14:paraId="1039ABB1"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6D6DB256" w14:textId="77777777" w:rsidTr="00241AAD">
        <w:trPr>
          <w:jc w:val="center"/>
        </w:trPr>
        <w:tc>
          <w:tcPr>
            <w:tcW w:w="2047" w:type="dxa"/>
            <w:shd w:val="clear" w:color="auto" w:fill="auto"/>
          </w:tcPr>
          <w:p w14:paraId="30AE78BC"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10</w:t>
            </w:r>
          </w:p>
        </w:tc>
        <w:tc>
          <w:tcPr>
            <w:tcW w:w="851" w:type="dxa"/>
            <w:shd w:val="clear" w:color="auto" w:fill="auto"/>
          </w:tcPr>
          <w:p w14:paraId="305A8363"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48FC87E4">
                <v:shape id="_x0000_i1117" type="#_x0000_t75" style="width:9.75pt;height:15pt">
                  <v:imagedata r:id="rId19" o:title=""/>
                </v:shape>
              </w:pict>
            </w:r>
          </w:p>
        </w:tc>
        <w:tc>
          <w:tcPr>
            <w:tcW w:w="851" w:type="dxa"/>
            <w:shd w:val="clear" w:color="auto" w:fill="auto"/>
          </w:tcPr>
          <w:p w14:paraId="1B6F448F"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1AF61F1B">
                <v:shape id="_x0000_i1118"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8</w:t>
            </w:r>
          </w:p>
        </w:tc>
        <w:tc>
          <w:tcPr>
            <w:tcW w:w="851" w:type="dxa"/>
            <w:shd w:val="clear" w:color="auto" w:fill="auto"/>
          </w:tcPr>
          <w:p w14:paraId="16A5E264"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F2DBDB"/>
          </w:tcPr>
          <w:p w14:paraId="74EAD1E5"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6F140A26">
                <v:shape id="_x0000_i1119" type="#_x0000_t75" style="width:9.75pt;height:15pt">
                  <v:imagedata r:id="rId19" o:title=""/>
                </v:shape>
              </w:pict>
            </w:r>
          </w:p>
        </w:tc>
        <w:tc>
          <w:tcPr>
            <w:tcW w:w="851" w:type="dxa"/>
            <w:shd w:val="clear" w:color="auto" w:fill="F2DBDB"/>
          </w:tcPr>
          <w:p w14:paraId="6F83278A"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6ED64E9C">
                <v:shape id="_x0000_i1120" type="#_x0000_t75" style="width:9.75pt;height:15pt">
                  <v:imagedata r:id="rId19" o:title=""/>
                </v:shape>
              </w:pict>
            </w:r>
            <w:r w:rsidR="00241AAD" w:rsidRPr="00241AAD">
              <w:rPr>
                <w:rFonts w:ascii="Arial" w:hAnsi="Arial" w:cs="Arial"/>
                <w:color w:val="FF0000"/>
                <w:sz w:val="18"/>
                <w:szCs w:val="22"/>
                <w:u w:val="single"/>
                <w:lang w:val="sv-SE" w:eastAsia="en-GB"/>
              </w:rPr>
              <w:t xml:space="preserve">, </w:t>
            </w:r>
            <w:r w:rsidR="00241AAD" w:rsidRPr="00241AAD">
              <w:rPr>
                <w:rFonts w:ascii="Arial" w:eastAsia="Batang" w:hAnsi="Arial" w:cs="Arial"/>
                <w:color w:val="FF0000"/>
                <w:sz w:val="18"/>
                <w:szCs w:val="22"/>
                <w:u w:val="single"/>
                <w:lang w:val="sv-SE" w:eastAsia="en-GB"/>
              </w:rPr>
              <w:t>7</w:t>
            </w:r>
          </w:p>
        </w:tc>
        <w:tc>
          <w:tcPr>
            <w:tcW w:w="851" w:type="dxa"/>
            <w:shd w:val="clear" w:color="auto" w:fill="auto"/>
          </w:tcPr>
          <w:p w14:paraId="1590C1F6"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1BFC6430" w14:textId="77777777" w:rsidTr="00241AAD">
        <w:trPr>
          <w:jc w:val="center"/>
        </w:trPr>
        <w:tc>
          <w:tcPr>
            <w:tcW w:w="2047" w:type="dxa"/>
            <w:shd w:val="clear" w:color="auto" w:fill="auto"/>
          </w:tcPr>
          <w:p w14:paraId="245F8162"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11</w:t>
            </w:r>
          </w:p>
        </w:tc>
        <w:tc>
          <w:tcPr>
            <w:tcW w:w="851" w:type="dxa"/>
            <w:shd w:val="clear" w:color="auto" w:fill="auto"/>
          </w:tcPr>
          <w:p w14:paraId="7EF3550E"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2E92ABC9">
                <v:shape id="_x0000_i1121" type="#_x0000_t75" style="width:9.75pt;height:15pt">
                  <v:imagedata r:id="rId19" o:title=""/>
                </v:shape>
              </w:pict>
            </w:r>
          </w:p>
        </w:tc>
        <w:tc>
          <w:tcPr>
            <w:tcW w:w="851" w:type="dxa"/>
            <w:shd w:val="clear" w:color="auto" w:fill="auto"/>
          </w:tcPr>
          <w:p w14:paraId="5812ECBA"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4BD51443">
                <v:shape id="_x0000_i1122"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8</w:t>
            </w:r>
          </w:p>
        </w:tc>
        <w:tc>
          <w:tcPr>
            <w:tcW w:w="851" w:type="dxa"/>
            <w:shd w:val="clear" w:color="auto" w:fill="auto"/>
          </w:tcPr>
          <w:p w14:paraId="6910721C"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F2DBDB"/>
          </w:tcPr>
          <w:p w14:paraId="36F69482"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48772ACD">
                <v:shape id="_x0000_i1123" type="#_x0000_t75" style="width:9.75pt;height:15pt">
                  <v:imagedata r:id="rId19" o:title=""/>
                </v:shape>
              </w:pict>
            </w:r>
          </w:p>
        </w:tc>
        <w:tc>
          <w:tcPr>
            <w:tcW w:w="851" w:type="dxa"/>
            <w:shd w:val="clear" w:color="auto" w:fill="F2DBDB"/>
          </w:tcPr>
          <w:p w14:paraId="2CAC0E21"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1EB1D9DC">
                <v:shape id="_x0000_i1124" type="#_x0000_t75" style="width:9.75pt;height:15pt">
                  <v:imagedata r:id="rId19" o:title=""/>
                </v:shape>
              </w:pict>
            </w:r>
            <w:r w:rsidR="00241AAD" w:rsidRPr="00241AAD">
              <w:rPr>
                <w:rFonts w:ascii="Arial" w:hAnsi="Arial" w:cs="Arial"/>
                <w:color w:val="FF0000"/>
                <w:sz w:val="18"/>
                <w:szCs w:val="22"/>
                <w:u w:val="single"/>
                <w:lang w:val="sv-SE" w:eastAsia="en-GB"/>
              </w:rPr>
              <w:t>, 7</w:t>
            </w:r>
          </w:p>
        </w:tc>
        <w:tc>
          <w:tcPr>
            <w:tcW w:w="851" w:type="dxa"/>
            <w:shd w:val="clear" w:color="auto" w:fill="auto"/>
          </w:tcPr>
          <w:p w14:paraId="5FA6C5BA"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38D3F2EA" w14:textId="77777777" w:rsidTr="00241AAD">
        <w:trPr>
          <w:jc w:val="center"/>
        </w:trPr>
        <w:tc>
          <w:tcPr>
            <w:tcW w:w="2047" w:type="dxa"/>
            <w:shd w:val="clear" w:color="auto" w:fill="auto"/>
          </w:tcPr>
          <w:p w14:paraId="3C9C4354"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12</w:t>
            </w:r>
          </w:p>
        </w:tc>
        <w:tc>
          <w:tcPr>
            <w:tcW w:w="851" w:type="dxa"/>
            <w:shd w:val="clear" w:color="auto" w:fill="auto"/>
          </w:tcPr>
          <w:p w14:paraId="51CFC8B4"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27FF892B">
                <v:shape id="_x0000_i1125" type="#_x0000_t75" style="width:9.75pt;height:15pt">
                  <v:imagedata r:id="rId19" o:title=""/>
                </v:shape>
              </w:pict>
            </w:r>
          </w:p>
        </w:tc>
        <w:tc>
          <w:tcPr>
            <w:tcW w:w="851" w:type="dxa"/>
            <w:shd w:val="clear" w:color="auto" w:fill="auto"/>
          </w:tcPr>
          <w:p w14:paraId="2B537D67"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113DEB99">
                <v:shape id="_x0000_i1126"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8</w:t>
            </w:r>
          </w:p>
        </w:tc>
        <w:tc>
          <w:tcPr>
            <w:tcW w:w="851" w:type="dxa"/>
            <w:shd w:val="clear" w:color="auto" w:fill="auto"/>
          </w:tcPr>
          <w:p w14:paraId="3CFEB45B"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F2DBDB"/>
          </w:tcPr>
          <w:p w14:paraId="1259DC08"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0F84102C">
                <v:shape id="_x0000_i1127" type="#_x0000_t75" style="width:9.75pt;height:15pt">
                  <v:imagedata r:id="rId19" o:title=""/>
                </v:shape>
              </w:pict>
            </w:r>
          </w:p>
        </w:tc>
        <w:tc>
          <w:tcPr>
            <w:tcW w:w="851" w:type="dxa"/>
            <w:shd w:val="clear" w:color="auto" w:fill="F2DBDB"/>
          </w:tcPr>
          <w:p w14:paraId="1C5AD1A3"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586D1551">
                <v:shape id="_x0000_i1128" type="#_x0000_t75" style="width:9.75pt;height:15pt">
                  <v:imagedata r:id="rId19" o:title=""/>
                </v:shape>
              </w:pict>
            </w:r>
            <w:r w:rsidR="00241AAD" w:rsidRPr="00241AAD">
              <w:rPr>
                <w:rFonts w:ascii="Arial" w:hAnsi="Arial" w:cs="Arial"/>
                <w:color w:val="FF0000"/>
                <w:sz w:val="18"/>
                <w:szCs w:val="22"/>
                <w:u w:val="single"/>
                <w:lang w:val="sv-SE" w:eastAsia="en-GB"/>
              </w:rPr>
              <w:t>, 9</w:t>
            </w:r>
          </w:p>
        </w:tc>
        <w:tc>
          <w:tcPr>
            <w:tcW w:w="851" w:type="dxa"/>
            <w:shd w:val="clear" w:color="auto" w:fill="auto"/>
          </w:tcPr>
          <w:p w14:paraId="63290C91"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23C520F9" w14:textId="77777777" w:rsidTr="00241AAD">
        <w:trPr>
          <w:jc w:val="center"/>
        </w:trPr>
        <w:tc>
          <w:tcPr>
            <w:tcW w:w="2047" w:type="dxa"/>
            <w:shd w:val="clear" w:color="auto" w:fill="auto"/>
          </w:tcPr>
          <w:p w14:paraId="361AC57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13</w:t>
            </w:r>
          </w:p>
        </w:tc>
        <w:tc>
          <w:tcPr>
            <w:tcW w:w="851" w:type="dxa"/>
            <w:shd w:val="clear" w:color="auto" w:fill="auto"/>
          </w:tcPr>
          <w:p w14:paraId="3C171504"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6BD79A24">
                <v:shape id="_x0000_i1129" type="#_x0000_t75" style="width:9.75pt;height:15pt">
                  <v:imagedata r:id="rId19" o:title=""/>
                </v:shape>
              </w:pict>
            </w:r>
          </w:p>
        </w:tc>
        <w:tc>
          <w:tcPr>
            <w:tcW w:w="851" w:type="dxa"/>
            <w:shd w:val="clear" w:color="auto" w:fill="auto"/>
          </w:tcPr>
          <w:p w14:paraId="5C8E14AA"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position w:val="-10"/>
                <w:sz w:val="18"/>
                <w:szCs w:val="22"/>
                <w:lang w:val="sv-SE" w:eastAsia="en-GB"/>
              </w:rPr>
              <w:pict w14:anchorId="49414F7D">
                <v:shape id="_x0000_i1130"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10</w:t>
            </w:r>
          </w:p>
        </w:tc>
        <w:tc>
          <w:tcPr>
            <w:tcW w:w="851" w:type="dxa"/>
            <w:shd w:val="clear" w:color="auto" w:fill="auto"/>
          </w:tcPr>
          <w:p w14:paraId="51BBB245"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F2DBDB"/>
          </w:tcPr>
          <w:p w14:paraId="28B2EC37"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6993445A">
                <v:shape id="_x0000_i1131" type="#_x0000_t75" style="width:9.75pt;height:15pt">
                  <v:imagedata r:id="rId19" o:title=""/>
                </v:shape>
              </w:pict>
            </w:r>
          </w:p>
        </w:tc>
        <w:tc>
          <w:tcPr>
            <w:tcW w:w="851" w:type="dxa"/>
            <w:shd w:val="clear" w:color="auto" w:fill="F2DBDB"/>
          </w:tcPr>
          <w:p w14:paraId="731CCA13"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51B217A5">
                <v:shape id="_x0000_i1132" type="#_x0000_t75" style="width:9.75pt;height:15pt">
                  <v:imagedata r:id="rId19" o:title=""/>
                </v:shape>
              </w:pict>
            </w:r>
            <w:r w:rsidR="00241AAD" w:rsidRPr="00241AAD">
              <w:rPr>
                <w:rFonts w:ascii="Arial" w:hAnsi="Arial" w:cs="Arial"/>
                <w:color w:val="FF0000"/>
                <w:sz w:val="18"/>
                <w:szCs w:val="22"/>
                <w:u w:val="single"/>
                <w:lang w:val="sv-SE" w:eastAsia="en-GB"/>
              </w:rPr>
              <w:t>, 9</w:t>
            </w:r>
          </w:p>
        </w:tc>
        <w:tc>
          <w:tcPr>
            <w:tcW w:w="851" w:type="dxa"/>
            <w:shd w:val="clear" w:color="auto" w:fill="auto"/>
          </w:tcPr>
          <w:p w14:paraId="328141C6"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r w:rsidR="00241AAD" w:rsidRPr="00241AAD" w14:paraId="6B234F2B" w14:textId="77777777" w:rsidTr="00241AAD">
        <w:trPr>
          <w:jc w:val="center"/>
        </w:trPr>
        <w:tc>
          <w:tcPr>
            <w:tcW w:w="2047" w:type="dxa"/>
            <w:shd w:val="clear" w:color="auto" w:fill="auto"/>
          </w:tcPr>
          <w:p w14:paraId="5C8EB457"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sidRPr="00241AAD">
              <w:rPr>
                <w:rFonts w:ascii="Arial" w:eastAsia="Batang" w:hAnsi="Arial" w:cs="Arial"/>
                <w:sz w:val="18"/>
                <w:szCs w:val="22"/>
                <w:lang w:val="sv-SE" w:eastAsia="en-GB"/>
              </w:rPr>
              <w:t>14</w:t>
            </w:r>
          </w:p>
        </w:tc>
        <w:tc>
          <w:tcPr>
            <w:tcW w:w="851" w:type="dxa"/>
            <w:shd w:val="clear" w:color="auto" w:fill="auto"/>
          </w:tcPr>
          <w:p w14:paraId="69A95D2C"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384204CF">
                <v:shape id="_x0000_i1133" type="#_x0000_t75" style="width:9.75pt;height:15pt">
                  <v:imagedata r:id="rId19" o:title=""/>
                </v:shape>
              </w:pict>
            </w:r>
          </w:p>
        </w:tc>
        <w:tc>
          <w:tcPr>
            <w:tcW w:w="851" w:type="dxa"/>
            <w:shd w:val="clear" w:color="auto" w:fill="auto"/>
          </w:tcPr>
          <w:p w14:paraId="21684C95"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position w:val="-10"/>
                <w:sz w:val="18"/>
                <w:szCs w:val="22"/>
                <w:lang w:val="sv-SE" w:eastAsia="en-GB"/>
              </w:rPr>
              <w:pict w14:anchorId="57BF5A4E">
                <v:shape id="_x0000_i1134" type="#_x0000_t75" style="width:9.75pt;height:15pt">
                  <v:imagedata r:id="rId19" o:title=""/>
                </v:shape>
              </w:pict>
            </w:r>
            <w:r w:rsidR="00241AAD" w:rsidRPr="00241AAD">
              <w:rPr>
                <w:rFonts w:ascii="Arial" w:hAnsi="Arial" w:cs="Arial"/>
                <w:sz w:val="18"/>
                <w:szCs w:val="22"/>
                <w:lang w:val="sv-SE" w:eastAsia="en-GB"/>
              </w:rPr>
              <w:t xml:space="preserve">, </w:t>
            </w:r>
            <w:r w:rsidR="00241AAD" w:rsidRPr="00241AAD">
              <w:rPr>
                <w:rFonts w:ascii="Arial" w:eastAsia="Batang" w:hAnsi="Arial" w:cs="Arial"/>
                <w:sz w:val="18"/>
                <w:szCs w:val="22"/>
                <w:lang w:val="sv-SE" w:eastAsia="en-GB"/>
              </w:rPr>
              <w:t>10</w:t>
            </w:r>
          </w:p>
        </w:tc>
        <w:tc>
          <w:tcPr>
            <w:tcW w:w="851" w:type="dxa"/>
            <w:shd w:val="clear" w:color="auto" w:fill="auto"/>
          </w:tcPr>
          <w:p w14:paraId="394EC3AD"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c>
          <w:tcPr>
            <w:tcW w:w="851" w:type="dxa"/>
            <w:shd w:val="clear" w:color="auto" w:fill="F2DBDB"/>
          </w:tcPr>
          <w:p w14:paraId="1DB58BA2" w14:textId="77777777" w:rsidR="00241AAD" w:rsidRPr="00241AAD" w:rsidRDefault="00D9634F" w:rsidP="00241AAD">
            <w:pPr>
              <w:keepNext/>
              <w:keepLines/>
              <w:overflowPunct/>
              <w:autoSpaceDE/>
              <w:autoSpaceDN/>
              <w:adjustRightInd/>
              <w:spacing w:after="0"/>
              <w:jc w:val="center"/>
              <w:textAlignment w:val="auto"/>
              <w:rPr>
                <w:rFonts w:ascii="Arial" w:hAnsi="Arial" w:cs="Arial"/>
                <w:sz w:val="18"/>
                <w:szCs w:val="22"/>
                <w:lang w:val="sv-SE" w:eastAsia="en-GB"/>
              </w:rPr>
            </w:pPr>
            <w:r>
              <w:rPr>
                <w:rFonts w:ascii="Arial" w:hAnsi="Arial" w:cs="Arial"/>
                <w:color w:val="FF0000"/>
                <w:position w:val="-10"/>
                <w:sz w:val="18"/>
                <w:szCs w:val="22"/>
                <w:u w:val="single"/>
                <w:lang w:val="sv-SE" w:eastAsia="en-GB"/>
              </w:rPr>
              <w:pict w14:anchorId="62F84BC2">
                <v:shape id="_x0000_i1135" type="#_x0000_t75" style="width:9.75pt;height:15pt">
                  <v:imagedata r:id="rId19" o:title=""/>
                </v:shape>
              </w:pict>
            </w:r>
          </w:p>
        </w:tc>
        <w:tc>
          <w:tcPr>
            <w:tcW w:w="851" w:type="dxa"/>
            <w:shd w:val="clear" w:color="auto" w:fill="F2DBDB"/>
          </w:tcPr>
          <w:p w14:paraId="58BA79C7" w14:textId="77777777" w:rsidR="00241AAD" w:rsidRPr="00241AAD" w:rsidRDefault="00D9634F"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r>
              <w:rPr>
                <w:rFonts w:ascii="Arial" w:hAnsi="Arial" w:cs="Arial"/>
                <w:color w:val="FF0000"/>
                <w:position w:val="-10"/>
                <w:sz w:val="18"/>
                <w:szCs w:val="22"/>
                <w:u w:val="single"/>
                <w:lang w:val="sv-SE" w:eastAsia="en-GB"/>
              </w:rPr>
              <w:pict w14:anchorId="6A7F411E">
                <v:shape id="_x0000_i1136" type="#_x0000_t75" style="width:9.75pt;height:15pt">
                  <v:imagedata r:id="rId19" o:title=""/>
                </v:shape>
              </w:pict>
            </w:r>
            <w:r w:rsidR="00241AAD" w:rsidRPr="00241AAD">
              <w:rPr>
                <w:rFonts w:ascii="Arial" w:hAnsi="Arial" w:cs="Arial"/>
                <w:color w:val="FF0000"/>
                <w:sz w:val="18"/>
                <w:szCs w:val="22"/>
                <w:u w:val="single"/>
                <w:lang w:val="sv-SE" w:eastAsia="en-GB"/>
              </w:rPr>
              <w:t>, 9</w:t>
            </w:r>
          </w:p>
        </w:tc>
        <w:tc>
          <w:tcPr>
            <w:tcW w:w="851" w:type="dxa"/>
            <w:shd w:val="clear" w:color="auto" w:fill="auto"/>
          </w:tcPr>
          <w:p w14:paraId="04DE9C6A" w14:textId="77777777" w:rsidR="00241AAD" w:rsidRPr="00241AAD" w:rsidRDefault="00241AAD" w:rsidP="00241AAD">
            <w:pPr>
              <w:keepNext/>
              <w:keepLines/>
              <w:overflowPunct/>
              <w:autoSpaceDE/>
              <w:autoSpaceDN/>
              <w:adjustRightInd/>
              <w:spacing w:after="0"/>
              <w:jc w:val="center"/>
              <w:textAlignment w:val="auto"/>
              <w:rPr>
                <w:rFonts w:ascii="Arial" w:eastAsia="Batang" w:hAnsi="Arial" w:cs="Arial"/>
                <w:sz w:val="18"/>
                <w:szCs w:val="22"/>
                <w:lang w:val="sv-SE" w:eastAsia="en-GB"/>
              </w:rPr>
            </w:pPr>
          </w:p>
        </w:tc>
      </w:tr>
    </w:tbl>
    <w:p w14:paraId="44A11B75" w14:textId="77777777" w:rsidR="00241AAD" w:rsidRPr="00241AAD" w:rsidRDefault="00241AAD" w:rsidP="00241AAD">
      <w:pPr>
        <w:tabs>
          <w:tab w:val="left" w:pos="1701"/>
        </w:tabs>
        <w:overflowPunct/>
        <w:autoSpaceDE/>
        <w:autoSpaceDN/>
        <w:adjustRightInd/>
        <w:spacing w:after="0"/>
        <w:jc w:val="both"/>
        <w:textAlignment w:val="auto"/>
        <w:rPr>
          <w:bCs/>
          <w:sz w:val="22"/>
          <w:szCs w:val="22"/>
          <w:lang w:val="en-US" w:eastAsia="zh-CN"/>
        </w:rPr>
      </w:pPr>
    </w:p>
    <w:bookmarkEnd w:id="3"/>
    <w:bookmarkEnd w:id="4"/>
    <w:p w14:paraId="1862687C" w14:textId="5585A153" w:rsidR="00C747A9" w:rsidRDefault="00B72A74" w:rsidP="002951EE">
      <w:pPr>
        <w:pStyle w:val="Heading1"/>
        <w:numPr>
          <w:ilvl w:val="0"/>
          <w:numId w:val="17"/>
        </w:numPr>
        <w:rPr>
          <w:lang w:val="en-US"/>
        </w:rPr>
      </w:pPr>
      <w:r>
        <w:rPr>
          <w:lang w:val="en-US"/>
        </w:rPr>
        <w:t xml:space="preserve">Dynamic </w:t>
      </w:r>
      <w:r w:rsidR="00C747A9" w:rsidRPr="005E0680">
        <w:rPr>
          <w:lang w:val="en-US"/>
        </w:rPr>
        <w:t xml:space="preserve">PDCCH </w:t>
      </w:r>
      <w:r>
        <w:rPr>
          <w:lang w:val="en-US"/>
        </w:rPr>
        <w:t>Monitoring</w:t>
      </w:r>
    </w:p>
    <w:p w14:paraId="2FA2F305" w14:textId="5FB1C355" w:rsidR="00496378" w:rsidRPr="005E0680" w:rsidRDefault="00496378" w:rsidP="00496378">
      <w:pPr>
        <w:pStyle w:val="BodyText"/>
        <w:rPr>
          <w:lang w:val="en-US"/>
        </w:rPr>
      </w:pPr>
      <w:r w:rsidRPr="005E0680">
        <w:rPr>
          <w:lang w:val="en-US"/>
        </w:rPr>
        <w:t xml:space="preserve">In the NR-U WID </w:t>
      </w:r>
      <w:r w:rsidRPr="005E0680">
        <w:rPr>
          <w:lang w:val="en-US"/>
        </w:rPr>
        <w:fldChar w:fldCharType="begin"/>
      </w:r>
      <w:r w:rsidRPr="005E0680">
        <w:rPr>
          <w:lang w:val="en-US"/>
        </w:rPr>
        <w:instrText xml:space="preserve"> REF _Ref534127550 \r \h </w:instrText>
      </w:r>
      <w:r w:rsidRPr="005E0680">
        <w:rPr>
          <w:lang w:val="en-US"/>
        </w:rPr>
      </w:r>
      <w:r w:rsidRPr="005E0680">
        <w:rPr>
          <w:lang w:val="en-US"/>
        </w:rPr>
        <w:fldChar w:fldCharType="separate"/>
      </w:r>
      <w:r w:rsidR="00431AC5">
        <w:rPr>
          <w:lang w:val="en-US"/>
        </w:rPr>
        <w:t>[1]</w:t>
      </w:r>
      <w:r w:rsidRPr="005E0680">
        <w:rPr>
          <w:lang w:val="en-US"/>
        </w:rPr>
        <w:fldChar w:fldCharType="end"/>
      </w:r>
      <w:r w:rsidRPr="005E0680">
        <w:rPr>
          <w:lang w:val="en-US"/>
        </w:rPr>
        <w:t>, the following objectives</w:t>
      </w:r>
      <w:r w:rsidR="00444032" w:rsidRPr="005E0680">
        <w:rPr>
          <w:lang w:val="en-US"/>
        </w:rPr>
        <w:t xml:space="preserve"> are</w:t>
      </w:r>
      <w:r w:rsidRPr="005E0680">
        <w:rPr>
          <w:lang w:val="en-US"/>
        </w:rPr>
        <w:t xml:space="preserve"> listed</w:t>
      </w:r>
    </w:p>
    <w:p w14:paraId="33553C98" w14:textId="77777777" w:rsidR="00496378" w:rsidRPr="005E0680" w:rsidRDefault="00496378" w:rsidP="00496378">
      <w:pPr>
        <w:pStyle w:val="B2"/>
        <w:rPr>
          <w:i/>
          <w:lang w:val="en-US"/>
        </w:rPr>
      </w:pPr>
      <w:r w:rsidRPr="005E0680">
        <w:rPr>
          <w:i/>
          <w:lang w:val="en-US"/>
        </w:rPr>
        <w:t>-</w:t>
      </w:r>
      <w:r w:rsidRPr="005E0680">
        <w:rPr>
          <w:i/>
          <w:lang w:val="en-US"/>
        </w:rPr>
        <w:tab/>
        <w:t xml:space="preserve">DL control in line with the agreements during the study phase (TR 38.889, Section 7.2.1.2) including extensions allowing dynamic change of the time domain instances in which the UE is expected to receive PDCCH, modifications enabling DRS transmissions without gaps in the time-domain, and indication of time domain COT structure; </w:t>
      </w:r>
    </w:p>
    <w:p w14:paraId="4ED8CD14" w14:textId="7318E90A" w:rsidR="008B57E2" w:rsidRPr="005E0680" w:rsidRDefault="008B57E2" w:rsidP="00D9634F">
      <w:pPr>
        <w:rPr>
          <w:rStyle w:val="IvDbodytextChar"/>
          <w:rFonts w:cs="Times New Roman"/>
          <w:i/>
          <w:sz w:val="20"/>
          <w:lang w:val="en-US"/>
        </w:rPr>
      </w:pPr>
      <w:r w:rsidRPr="005E0680">
        <w:rPr>
          <w:rStyle w:val="IvDbodytextChar"/>
          <w:rFonts w:cs="Times New Roman"/>
          <w:sz w:val="20"/>
          <w:lang w:val="en-US"/>
        </w:rPr>
        <w:t>In NR, PDCCH monitoring information per search space is configured via RRC. For each configured search space, the following parameters are included:</w:t>
      </w:r>
    </w:p>
    <w:p w14:paraId="6E404849" w14:textId="77777777" w:rsidR="008B57E2" w:rsidRPr="00D9634F" w:rsidRDefault="008B57E2" w:rsidP="00D9634F">
      <w:pPr>
        <w:pStyle w:val="ListParagraph"/>
        <w:numPr>
          <w:ilvl w:val="0"/>
          <w:numId w:val="58"/>
        </w:numPr>
        <w:rPr>
          <w:rStyle w:val="IvDbodytextChar"/>
          <w:i/>
          <w:sz w:val="20"/>
          <w:szCs w:val="20"/>
          <w:lang w:val="en-US"/>
        </w:rPr>
      </w:pPr>
      <w:r w:rsidRPr="00D9634F">
        <w:rPr>
          <w:rStyle w:val="IvDbodytextChar"/>
          <w:sz w:val="20"/>
          <w:szCs w:val="20"/>
          <w:lang w:val="en-US"/>
        </w:rPr>
        <w:t>monitoringSlotPeriodicityAndOffset: Slots for PDCCH Monitoring configured as periodicity and offset</w:t>
      </w:r>
    </w:p>
    <w:p w14:paraId="3E0FC379" w14:textId="7DCB5992" w:rsidR="008B57E2" w:rsidRPr="00D9634F" w:rsidRDefault="008B57E2" w:rsidP="00D9634F">
      <w:pPr>
        <w:pStyle w:val="ListParagraph"/>
        <w:numPr>
          <w:ilvl w:val="0"/>
          <w:numId w:val="58"/>
        </w:numPr>
        <w:rPr>
          <w:rFonts w:ascii="Arial" w:hAnsi="Arial" w:cs="Arial"/>
          <w:i/>
          <w:lang w:val="en-US"/>
        </w:rPr>
      </w:pPr>
      <w:r w:rsidRPr="00D9634F">
        <w:rPr>
          <w:rStyle w:val="IvDbodytextChar"/>
          <w:sz w:val="20"/>
          <w:szCs w:val="20"/>
          <w:lang w:val="en-US"/>
        </w:rPr>
        <w:t>monitoringSymbolsWithinSlot</w:t>
      </w:r>
      <w:r w:rsidR="00563EBF" w:rsidRPr="00D9634F">
        <w:rPr>
          <w:rStyle w:val="IvDbodytextChar"/>
          <w:sz w:val="20"/>
          <w:szCs w:val="20"/>
          <w:lang w:val="en-US"/>
        </w:rPr>
        <w:t>:</w:t>
      </w:r>
      <w:r w:rsidR="00B17EF7" w:rsidRPr="00D9634F">
        <w:rPr>
          <w:rFonts w:ascii="Arial" w:hAnsi="Arial" w:cs="Arial"/>
        </w:rPr>
        <w:t xml:space="preserve"> </w:t>
      </w:r>
      <w:r w:rsidR="00B17EF7" w:rsidRPr="00D9634F">
        <w:rPr>
          <w:rStyle w:val="IvDbodytextChar"/>
          <w:sz w:val="20"/>
          <w:szCs w:val="20"/>
          <w:lang w:val="en-US"/>
        </w:rPr>
        <w:t>The first symbol(s) for PDCCH monitoring in the slots configured for PDCCH monitoring. The most significant (left) bit represents the first OFDM in a slot, and the second most significant (left) bit represents the second OFDM symbol in a slot and so on. The bit(s) set to one identify the first OFDM symbol(s) of the control resource set within a slot.</w:t>
      </w:r>
    </w:p>
    <w:p w14:paraId="14D5FAAC" w14:textId="7789C533" w:rsidR="00D85F8E" w:rsidRPr="00D9634F" w:rsidRDefault="008B57E2" w:rsidP="00D9634F">
      <w:pPr>
        <w:rPr>
          <w:rFonts w:ascii="Arial" w:hAnsi="Arial" w:cs="Arial"/>
          <w:lang w:val="en-US"/>
        </w:rPr>
      </w:pPr>
      <w:r w:rsidRPr="00D9634F">
        <w:rPr>
          <w:rFonts w:ascii="Arial" w:hAnsi="Arial" w:cs="Arial"/>
          <w:lang w:val="en-US"/>
        </w:rPr>
        <w:t>Type B PDSCH mapping (</w:t>
      </w:r>
      <w:r w:rsidR="008658C3" w:rsidRPr="00D9634F">
        <w:rPr>
          <w:rFonts w:ascii="Arial" w:hAnsi="Arial" w:cs="Arial"/>
          <w:lang w:val="en-US"/>
        </w:rPr>
        <w:t>also</w:t>
      </w:r>
      <w:r w:rsidR="00F756AC" w:rsidRPr="00D9634F">
        <w:rPr>
          <w:rFonts w:ascii="Arial" w:hAnsi="Arial" w:cs="Arial"/>
          <w:lang w:val="en-US"/>
        </w:rPr>
        <w:t xml:space="preserve"> informally</w:t>
      </w:r>
      <w:r w:rsidRPr="00D9634F">
        <w:rPr>
          <w:rFonts w:ascii="Arial" w:hAnsi="Arial" w:cs="Arial"/>
          <w:lang w:val="en-US"/>
        </w:rPr>
        <w:t xml:space="preserve"> called mini-slots) can be started in any OFDM symbol in a slot. This </w:t>
      </w:r>
      <w:r w:rsidR="00484971" w:rsidRPr="00D9634F">
        <w:rPr>
          <w:rFonts w:ascii="Arial" w:hAnsi="Arial" w:cs="Arial"/>
          <w:lang w:val="en-US"/>
        </w:rPr>
        <w:t>is</w:t>
      </w:r>
      <w:r w:rsidRPr="00D9634F">
        <w:rPr>
          <w:rFonts w:ascii="Arial" w:hAnsi="Arial" w:cs="Arial"/>
          <w:lang w:val="en-US"/>
        </w:rPr>
        <w:t xml:space="preserve"> helpful for NR unlicensed nodes to get access to the channel</w:t>
      </w:r>
      <w:r w:rsidR="00484971" w:rsidRPr="00D9634F">
        <w:rPr>
          <w:rFonts w:ascii="Arial" w:hAnsi="Arial" w:cs="Arial"/>
          <w:lang w:val="en-US"/>
        </w:rPr>
        <w:t xml:space="preserve"> with fine</w:t>
      </w:r>
      <w:r w:rsidR="00817D84" w:rsidRPr="00D9634F">
        <w:rPr>
          <w:rFonts w:ascii="Arial" w:hAnsi="Arial" w:cs="Arial"/>
          <w:lang w:val="en-US"/>
        </w:rPr>
        <w:t>r</w:t>
      </w:r>
      <w:r w:rsidR="00484971" w:rsidRPr="00D9634F">
        <w:rPr>
          <w:rFonts w:ascii="Arial" w:hAnsi="Arial" w:cs="Arial"/>
          <w:lang w:val="en-US"/>
        </w:rPr>
        <w:t xml:space="preserve"> granularity</w:t>
      </w:r>
      <w:r w:rsidRPr="00D9634F">
        <w:rPr>
          <w:rFonts w:ascii="Arial" w:hAnsi="Arial" w:cs="Arial"/>
          <w:lang w:val="en-US"/>
        </w:rPr>
        <w:t xml:space="preserve">. In order to save PDCCH and DM-RS overhead, </w:t>
      </w:r>
      <w:r w:rsidR="00F4423D" w:rsidRPr="00D9634F">
        <w:rPr>
          <w:rFonts w:ascii="Arial" w:hAnsi="Arial" w:cs="Arial"/>
          <w:lang w:val="en-US"/>
        </w:rPr>
        <w:t xml:space="preserve">the </w:t>
      </w:r>
      <w:r w:rsidRPr="00D9634F">
        <w:rPr>
          <w:rFonts w:ascii="Arial" w:hAnsi="Arial" w:cs="Arial"/>
          <w:lang w:val="en-US"/>
        </w:rPr>
        <w:t xml:space="preserve">gNB may </w:t>
      </w:r>
      <w:r w:rsidR="00484971" w:rsidRPr="00D9634F">
        <w:rPr>
          <w:rFonts w:ascii="Arial" w:hAnsi="Arial" w:cs="Arial"/>
          <w:lang w:val="en-US"/>
        </w:rPr>
        <w:t>schedule</w:t>
      </w:r>
      <w:r w:rsidRPr="00D9634F">
        <w:rPr>
          <w:rFonts w:ascii="Arial" w:hAnsi="Arial" w:cs="Arial"/>
          <w:lang w:val="en-US"/>
        </w:rPr>
        <w:t xml:space="preserve"> Type B PDSCH</w:t>
      </w:r>
      <w:r w:rsidR="00484971" w:rsidRPr="00D9634F">
        <w:rPr>
          <w:rFonts w:ascii="Arial" w:hAnsi="Arial" w:cs="Arial"/>
          <w:lang w:val="en-US"/>
        </w:rPr>
        <w:t xml:space="preserve"> mapping</w:t>
      </w:r>
      <w:r w:rsidRPr="00D9634F">
        <w:rPr>
          <w:rFonts w:ascii="Arial" w:hAnsi="Arial" w:cs="Arial"/>
          <w:lang w:val="en-US"/>
        </w:rPr>
        <w:t xml:space="preserve"> </w:t>
      </w:r>
      <w:r w:rsidR="00484971" w:rsidRPr="00D9634F">
        <w:rPr>
          <w:rFonts w:ascii="Arial" w:hAnsi="Arial" w:cs="Arial"/>
          <w:lang w:val="en-US"/>
        </w:rPr>
        <w:t xml:space="preserve">in the first part of a COT </w:t>
      </w:r>
      <w:r w:rsidR="00F4423D" w:rsidRPr="00D9634F">
        <w:rPr>
          <w:rFonts w:ascii="Arial" w:hAnsi="Arial" w:cs="Arial"/>
          <w:lang w:val="en-US"/>
        </w:rPr>
        <w:t>up to</w:t>
      </w:r>
      <w:r w:rsidRPr="00D9634F">
        <w:rPr>
          <w:rFonts w:ascii="Arial" w:hAnsi="Arial" w:cs="Arial"/>
          <w:lang w:val="en-US"/>
        </w:rPr>
        <w:t xml:space="preserve"> </w:t>
      </w:r>
      <w:r w:rsidR="00F4423D" w:rsidRPr="00D9634F">
        <w:rPr>
          <w:rFonts w:ascii="Arial" w:hAnsi="Arial" w:cs="Arial"/>
          <w:lang w:val="en-US"/>
        </w:rPr>
        <w:t xml:space="preserve">a </w:t>
      </w:r>
      <w:r w:rsidRPr="00D9634F">
        <w:rPr>
          <w:rFonts w:ascii="Arial" w:hAnsi="Arial" w:cs="Arial"/>
          <w:lang w:val="en-US"/>
        </w:rPr>
        <w:t>slot boundary</w:t>
      </w:r>
      <w:r w:rsidR="00484971" w:rsidRPr="00D9634F">
        <w:rPr>
          <w:rFonts w:ascii="Arial" w:hAnsi="Arial" w:cs="Arial"/>
          <w:lang w:val="en-US"/>
        </w:rPr>
        <w:t>,</w:t>
      </w:r>
      <w:r w:rsidRPr="00D9634F">
        <w:rPr>
          <w:rFonts w:ascii="Arial" w:hAnsi="Arial" w:cs="Arial"/>
          <w:lang w:val="en-US"/>
        </w:rPr>
        <w:t xml:space="preserve"> and then switch to </w:t>
      </w:r>
      <w:r w:rsidR="00484971" w:rsidRPr="00D9634F">
        <w:rPr>
          <w:rFonts w:ascii="Arial" w:hAnsi="Arial" w:cs="Arial"/>
          <w:lang w:val="en-US"/>
        </w:rPr>
        <w:t xml:space="preserve">scheduling </w:t>
      </w:r>
      <w:r w:rsidRPr="00D9634F">
        <w:rPr>
          <w:rFonts w:ascii="Arial" w:hAnsi="Arial" w:cs="Arial"/>
          <w:lang w:val="en-US"/>
        </w:rPr>
        <w:t xml:space="preserve">type A PDSCH </w:t>
      </w:r>
      <w:r w:rsidR="00484971" w:rsidRPr="00D9634F">
        <w:rPr>
          <w:rFonts w:ascii="Arial" w:hAnsi="Arial" w:cs="Arial"/>
          <w:lang w:val="en-US"/>
        </w:rPr>
        <w:t>mapping</w:t>
      </w:r>
      <w:r w:rsidR="00F4423D" w:rsidRPr="00D9634F">
        <w:rPr>
          <w:rFonts w:ascii="Arial" w:hAnsi="Arial" w:cs="Arial"/>
          <w:lang w:val="en-US"/>
        </w:rPr>
        <w:t xml:space="preserve"> for </w:t>
      </w:r>
      <w:r w:rsidR="00484971" w:rsidRPr="00D9634F">
        <w:rPr>
          <w:rFonts w:ascii="Arial" w:hAnsi="Arial" w:cs="Arial"/>
          <w:lang w:val="en-US"/>
        </w:rPr>
        <w:t>the remainder of the COT</w:t>
      </w:r>
      <w:r w:rsidRPr="00D9634F">
        <w:rPr>
          <w:rFonts w:ascii="Arial" w:hAnsi="Arial" w:cs="Arial"/>
          <w:lang w:val="en-US"/>
        </w:rPr>
        <w:t xml:space="preserve">. </w:t>
      </w:r>
      <w:r w:rsidR="00F4423D" w:rsidRPr="00D9634F">
        <w:rPr>
          <w:rFonts w:ascii="Arial" w:hAnsi="Arial" w:cs="Arial"/>
          <w:lang w:val="en-US"/>
        </w:rPr>
        <w:t>An</w:t>
      </w:r>
      <w:r w:rsidRPr="00D9634F">
        <w:rPr>
          <w:rFonts w:ascii="Arial" w:hAnsi="Arial" w:cs="Arial"/>
          <w:lang w:val="en-US"/>
        </w:rPr>
        <w:t xml:space="preserve"> example is shown in </w:t>
      </w:r>
      <w:r w:rsidR="00551BFF" w:rsidRPr="00D9634F">
        <w:rPr>
          <w:rFonts w:ascii="Arial" w:hAnsi="Arial" w:cs="Arial"/>
          <w:lang w:val="en-US"/>
        </w:rPr>
        <w:fldChar w:fldCharType="begin"/>
      </w:r>
      <w:r w:rsidR="00551BFF" w:rsidRPr="00D9634F">
        <w:rPr>
          <w:rFonts w:ascii="Arial" w:hAnsi="Arial" w:cs="Arial"/>
          <w:lang w:val="en-US"/>
        </w:rPr>
        <w:instrText xml:space="preserve"> REF _Ref534979699 \h </w:instrText>
      </w:r>
      <w:r w:rsidR="00551BFF" w:rsidRPr="00D9634F">
        <w:rPr>
          <w:rFonts w:ascii="Arial" w:hAnsi="Arial" w:cs="Arial"/>
          <w:lang w:val="en-US"/>
        </w:rPr>
      </w:r>
      <w:r w:rsidR="00D9634F" w:rsidRPr="00D9634F">
        <w:rPr>
          <w:rFonts w:ascii="Arial" w:hAnsi="Arial" w:cs="Arial"/>
          <w:lang w:val="en-US"/>
        </w:rPr>
        <w:instrText xml:space="preserve"> \* MERGEFORMAT </w:instrText>
      </w:r>
      <w:r w:rsidR="00551BFF" w:rsidRPr="00D9634F">
        <w:rPr>
          <w:rFonts w:ascii="Arial" w:hAnsi="Arial" w:cs="Arial"/>
          <w:lang w:val="en-US"/>
        </w:rPr>
        <w:fldChar w:fldCharType="separate"/>
      </w:r>
      <w:r w:rsidR="00431AC5" w:rsidRPr="00D9634F">
        <w:rPr>
          <w:rFonts w:ascii="Arial" w:hAnsi="Arial" w:cs="Arial"/>
          <w:lang w:val="en-US"/>
        </w:rPr>
        <w:t xml:space="preserve">Figure </w:t>
      </w:r>
      <w:r w:rsidR="00431AC5" w:rsidRPr="00D9634F">
        <w:rPr>
          <w:rFonts w:ascii="Arial" w:hAnsi="Arial" w:cs="Arial"/>
          <w:noProof/>
          <w:lang w:val="en-US"/>
        </w:rPr>
        <w:t>8</w:t>
      </w:r>
      <w:r w:rsidR="00551BFF" w:rsidRPr="00D9634F">
        <w:rPr>
          <w:rFonts w:ascii="Arial" w:hAnsi="Arial" w:cs="Arial"/>
          <w:lang w:val="en-US"/>
        </w:rPr>
        <w:fldChar w:fldCharType="end"/>
      </w:r>
      <w:r w:rsidR="00F13DBD" w:rsidRPr="00D9634F">
        <w:rPr>
          <w:rFonts w:ascii="Arial" w:hAnsi="Arial" w:cs="Arial"/>
          <w:lang w:val="en-US"/>
        </w:rPr>
        <w:t xml:space="preserve"> where</w:t>
      </w:r>
      <w:r w:rsidRPr="00D9634F">
        <w:rPr>
          <w:rFonts w:ascii="Arial" w:hAnsi="Arial" w:cs="Arial"/>
          <w:lang w:val="en-US"/>
        </w:rPr>
        <w:t xml:space="preserve"> </w:t>
      </w:r>
      <w:r w:rsidR="00F4423D" w:rsidRPr="00D9634F">
        <w:rPr>
          <w:rFonts w:ascii="Arial" w:hAnsi="Arial" w:cs="Arial"/>
          <w:lang w:val="en-US"/>
        </w:rPr>
        <w:t xml:space="preserve">the </w:t>
      </w:r>
      <w:r w:rsidRPr="00D9634F">
        <w:rPr>
          <w:rFonts w:ascii="Arial" w:hAnsi="Arial" w:cs="Arial"/>
          <w:lang w:val="en-US"/>
        </w:rPr>
        <w:t xml:space="preserve">gNB performs LBT and starts data transmission by using Type B PDSCH mapping </w:t>
      </w:r>
      <w:r w:rsidR="00647602" w:rsidRPr="00D9634F">
        <w:rPr>
          <w:rFonts w:ascii="Arial" w:hAnsi="Arial" w:cs="Arial"/>
          <w:lang w:val="en-US"/>
        </w:rPr>
        <w:t>within</w:t>
      </w:r>
      <w:r w:rsidRPr="00D9634F">
        <w:rPr>
          <w:rFonts w:ascii="Arial" w:hAnsi="Arial" w:cs="Arial"/>
          <w:lang w:val="en-US"/>
        </w:rPr>
        <w:t xml:space="preserve"> slot n immediately after LBT succeeds. In succeeding slots (i.e. slot n+1, n+2, n+3) within the </w:t>
      </w:r>
      <w:r w:rsidR="00484971" w:rsidRPr="00D9634F">
        <w:rPr>
          <w:rFonts w:ascii="Arial" w:hAnsi="Arial" w:cs="Arial"/>
          <w:lang w:val="en-US"/>
        </w:rPr>
        <w:t>TXOP</w:t>
      </w:r>
      <w:r w:rsidRPr="00D9634F">
        <w:rPr>
          <w:rFonts w:ascii="Arial" w:hAnsi="Arial" w:cs="Arial"/>
          <w:lang w:val="en-US"/>
        </w:rPr>
        <w:t xml:space="preserve">, </w:t>
      </w:r>
      <w:r w:rsidR="00B41B95" w:rsidRPr="00D9634F">
        <w:rPr>
          <w:rFonts w:ascii="Arial" w:hAnsi="Arial" w:cs="Arial"/>
          <w:lang w:val="en-US"/>
        </w:rPr>
        <w:t xml:space="preserve">the </w:t>
      </w:r>
      <w:r w:rsidRPr="00D9634F">
        <w:rPr>
          <w:rFonts w:ascii="Arial" w:hAnsi="Arial" w:cs="Arial"/>
          <w:lang w:val="en-US"/>
        </w:rPr>
        <w:t xml:space="preserve">gNB switches to Type A PDSCH mapping transmission to save </w:t>
      </w:r>
      <w:r w:rsidR="006C47C6" w:rsidRPr="00D9634F">
        <w:rPr>
          <w:rFonts w:ascii="Arial" w:hAnsi="Arial" w:cs="Arial"/>
          <w:lang w:val="en-US"/>
        </w:rPr>
        <w:t xml:space="preserve">processing </w:t>
      </w:r>
      <w:r w:rsidRPr="00D9634F">
        <w:rPr>
          <w:rFonts w:ascii="Arial" w:hAnsi="Arial" w:cs="Arial"/>
          <w:lang w:val="en-US"/>
        </w:rPr>
        <w:t>overhead. To match TXOP requirements, the last slot may need to be a partial slot transmission which is already supported by Type A PDSCH mapping in NR Rel-15</w:t>
      </w:r>
      <w:r w:rsidR="00B41B95" w:rsidRPr="00D9634F">
        <w:rPr>
          <w:rFonts w:ascii="Arial" w:hAnsi="Arial" w:cs="Arial"/>
          <w:lang w:val="en-US"/>
        </w:rPr>
        <w:t xml:space="preserve"> through </w:t>
      </w:r>
      <w:r w:rsidR="006663D3" w:rsidRPr="00D9634F">
        <w:rPr>
          <w:rFonts w:ascii="Arial" w:hAnsi="Arial" w:cs="Arial"/>
          <w:lang w:val="en-US"/>
        </w:rPr>
        <w:t>signaling</w:t>
      </w:r>
      <w:r w:rsidR="00B41B95" w:rsidRPr="00D9634F">
        <w:rPr>
          <w:rFonts w:ascii="Arial" w:hAnsi="Arial" w:cs="Arial"/>
          <w:lang w:val="en-US"/>
        </w:rPr>
        <w:t xml:space="preserve"> of start and length indication value (SLIV).</w:t>
      </w:r>
    </w:p>
    <w:p w14:paraId="39C75428" w14:textId="77777777" w:rsidR="0099048C" w:rsidRPr="005E0680" w:rsidRDefault="008B57E2" w:rsidP="0099048C">
      <w:pPr>
        <w:pStyle w:val="TH"/>
        <w:rPr>
          <w:lang w:val="en-US"/>
        </w:rPr>
      </w:pPr>
      <w:r w:rsidRPr="005E0680">
        <w:rPr>
          <w:noProof/>
          <w:lang w:val="en-US"/>
        </w:rPr>
        <w:drawing>
          <wp:inline distT="0" distB="0" distL="0" distR="0" wp14:anchorId="7B5EB116" wp14:editId="65066DFE">
            <wp:extent cx="6120338" cy="844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51282"/>
                    <a:stretch/>
                  </pic:blipFill>
                  <pic:spPr bwMode="auto">
                    <a:xfrm>
                      <a:off x="0" y="0"/>
                      <a:ext cx="6120765" cy="844609"/>
                    </a:xfrm>
                    <a:prstGeom prst="rect">
                      <a:avLst/>
                    </a:prstGeom>
                    <a:noFill/>
                    <a:ln>
                      <a:noFill/>
                    </a:ln>
                    <a:extLst>
                      <a:ext uri="{53640926-AAD7-44D8-BBD7-CCE9431645EC}">
                        <a14:shadowObscured xmlns:a14="http://schemas.microsoft.com/office/drawing/2010/main"/>
                      </a:ext>
                    </a:extLst>
                  </pic:spPr>
                </pic:pic>
              </a:graphicData>
            </a:graphic>
          </wp:inline>
        </w:drawing>
      </w:r>
    </w:p>
    <w:p w14:paraId="164820DB" w14:textId="1D9B8648" w:rsidR="0099048C" w:rsidRPr="005E0680" w:rsidRDefault="0099048C" w:rsidP="0099048C">
      <w:pPr>
        <w:pStyle w:val="Caption"/>
        <w:jc w:val="center"/>
        <w:rPr>
          <w:lang w:val="en-US"/>
        </w:rPr>
      </w:pPr>
      <w:bookmarkStart w:id="15" w:name="_Ref534979699"/>
      <w:r w:rsidRPr="005E0680">
        <w:rPr>
          <w:lang w:val="en-US"/>
        </w:rPr>
        <w:t xml:space="preserve">Figure </w:t>
      </w:r>
      <w:r w:rsidR="0038356A" w:rsidRPr="005E0680">
        <w:rPr>
          <w:noProof/>
          <w:lang w:val="en-US"/>
        </w:rPr>
        <w:fldChar w:fldCharType="begin"/>
      </w:r>
      <w:r w:rsidR="0038356A" w:rsidRPr="005E0680">
        <w:rPr>
          <w:noProof/>
          <w:lang w:val="en-US"/>
        </w:rPr>
        <w:instrText xml:space="preserve"> SEQ Figure \* ARABIC </w:instrText>
      </w:r>
      <w:r w:rsidR="0038356A" w:rsidRPr="005E0680">
        <w:rPr>
          <w:noProof/>
          <w:lang w:val="en-US"/>
        </w:rPr>
        <w:fldChar w:fldCharType="separate"/>
      </w:r>
      <w:r w:rsidR="00431AC5">
        <w:rPr>
          <w:noProof/>
          <w:lang w:val="en-US"/>
        </w:rPr>
        <w:t>8</w:t>
      </w:r>
      <w:r w:rsidR="0038356A" w:rsidRPr="005E0680">
        <w:rPr>
          <w:noProof/>
          <w:lang w:val="en-US"/>
        </w:rPr>
        <w:fldChar w:fldCharType="end"/>
      </w:r>
      <w:bookmarkEnd w:id="15"/>
      <w:r w:rsidRPr="005E0680">
        <w:rPr>
          <w:lang w:val="en-US"/>
        </w:rPr>
        <w:t>: Example of NR-U PDSCH and PDCCH transmissions and UE PDCCH monitoring</w:t>
      </w:r>
      <w:bookmarkStart w:id="16" w:name="_Toc525720707"/>
    </w:p>
    <w:p w14:paraId="7260B021" w14:textId="77777777" w:rsidR="0099048C" w:rsidRPr="005E0680" w:rsidRDefault="0099048C" w:rsidP="0099048C">
      <w:pPr>
        <w:pStyle w:val="BodyText"/>
        <w:rPr>
          <w:lang w:val="en-US"/>
        </w:rPr>
      </w:pPr>
    </w:p>
    <w:bookmarkEnd w:id="16"/>
    <w:p w14:paraId="0FB1CE14" w14:textId="428FC147" w:rsidR="00F4423D" w:rsidRDefault="00FF1A74" w:rsidP="00F4423D">
      <w:pPr>
        <w:pStyle w:val="BodyText"/>
        <w:rPr>
          <w:lang w:val="en-US"/>
        </w:rPr>
      </w:pPr>
      <w:r>
        <w:rPr>
          <w:lang w:val="en-US"/>
        </w:rPr>
        <w:t xml:space="preserve">Without any further indication other than the RRC configuration of search spaces, </w:t>
      </w:r>
      <w:r w:rsidR="008B57E2" w:rsidRPr="005E0680">
        <w:rPr>
          <w:lang w:val="en-US"/>
        </w:rPr>
        <w:t xml:space="preserve">UEs that are not scheduled need to perform the same PDCCH monitoring pattern for Type B mapping even if the gNB </w:t>
      </w:r>
      <w:r>
        <w:rPr>
          <w:lang w:val="en-US"/>
        </w:rPr>
        <w:t>does not intend to use scheduling of</w:t>
      </w:r>
      <w:r w:rsidR="008B57E2" w:rsidRPr="005E0680">
        <w:rPr>
          <w:lang w:val="en-US"/>
        </w:rPr>
        <w:t xml:space="preserve"> type </w:t>
      </w:r>
      <w:r>
        <w:rPr>
          <w:lang w:val="en-US"/>
        </w:rPr>
        <w:t>B PDSCH</w:t>
      </w:r>
      <w:r w:rsidR="008B57E2" w:rsidRPr="005E0680">
        <w:rPr>
          <w:lang w:val="en-US"/>
        </w:rPr>
        <w:t xml:space="preserve">, e.g. every 2 symbols in slot n+1, n+2 </w:t>
      </w:r>
      <w:r w:rsidR="00F97661" w:rsidRPr="005E0680">
        <w:rPr>
          <w:lang w:val="en-US"/>
        </w:rPr>
        <w:t>etc.</w:t>
      </w:r>
      <w:r w:rsidR="008B57E2" w:rsidRPr="005E0680">
        <w:rPr>
          <w:lang w:val="en-US"/>
        </w:rPr>
        <w:t xml:space="preserve"> </w:t>
      </w:r>
      <w:r w:rsidR="00C34902" w:rsidRPr="005E0680">
        <w:rPr>
          <w:lang w:val="en-US"/>
        </w:rPr>
        <w:t xml:space="preserve"> </w:t>
      </w:r>
      <w:r>
        <w:rPr>
          <w:lang w:val="en-US"/>
        </w:rPr>
        <w:t>T</w:t>
      </w:r>
      <w:r w:rsidR="008B57E2" w:rsidRPr="005E0680">
        <w:rPr>
          <w:lang w:val="en-US"/>
        </w:rPr>
        <w:t>his is costly and a waste in terms of complexity and power consumption.</w:t>
      </w:r>
    </w:p>
    <w:p w14:paraId="633B5B58" w14:textId="6E8660B5" w:rsidR="00EF7206" w:rsidRDefault="00EF7206" w:rsidP="00F4423D">
      <w:pPr>
        <w:pStyle w:val="BodyText"/>
        <w:rPr>
          <w:lang w:val="en-US"/>
        </w:rPr>
      </w:pPr>
      <w:r>
        <w:rPr>
          <w:lang w:val="en-US"/>
        </w:rPr>
        <w:t xml:space="preserve">Power savings in this situation can be enabled using the following procedure. The UE is configured with </w:t>
      </w:r>
      <w:r w:rsidR="006A1A25">
        <w:rPr>
          <w:lang w:val="en-US"/>
        </w:rPr>
        <w:t xml:space="preserve">different search spaces for </w:t>
      </w:r>
      <w:r>
        <w:rPr>
          <w:lang w:val="en-US"/>
        </w:rPr>
        <w:t xml:space="preserve">monitoring </w:t>
      </w:r>
      <w:r w:rsidR="006A1A25">
        <w:rPr>
          <w:lang w:val="en-US"/>
        </w:rPr>
        <w:t xml:space="preserve">for type A PDSCH and type B PDSCH mapping. When the gNB gets access to the channel, it can use </w:t>
      </w:r>
      <w:r w:rsidR="00BC205E">
        <w:rPr>
          <w:lang w:val="en-US"/>
        </w:rPr>
        <w:t xml:space="preserve">Rel-15 </w:t>
      </w:r>
      <w:r w:rsidR="006A1A25">
        <w:rPr>
          <w:lang w:val="en-US"/>
        </w:rPr>
        <w:t xml:space="preserve">signaling </w:t>
      </w:r>
      <w:r w:rsidR="00516343">
        <w:rPr>
          <w:lang w:val="en-US"/>
        </w:rPr>
        <w:fldChar w:fldCharType="begin"/>
      </w:r>
      <w:r w:rsidR="00516343">
        <w:rPr>
          <w:lang w:val="en-US"/>
        </w:rPr>
        <w:instrText xml:space="preserve"> REF _Ref534892220 \r \h </w:instrText>
      </w:r>
      <w:r w:rsidR="00516343">
        <w:rPr>
          <w:lang w:val="en-US"/>
        </w:rPr>
      </w:r>
      <w:r w:rsidR="00516343">
        <w:rPr>
          <w:lang w:val="en-US"/>
        </w:rPr>
        <w:fldChar w:fldCharType="separate"/>
      </w:r>
      <w:r w:rsidR="00431AC5">
        <w:rPr>
          <w:lang w:val="en-US"/>
        </w:rPr>
        <w:t>[4]</w:t>
      </w:r>
      <w:r w:rsidR="00516343">
        <w:rPr>
          <w:lang w:val="en-US"/>
        </w:rPr>
        <w:fldChar w:fldCharType="end"/>
      </w:r>
      <w:r w:rsidR="00B36367">
        <w:rPr>
          <w:lang w:val="en-US"/>
        </w:rPr>
        <w:t xml:space="preserve"> </w:t>
      </w:r>
      <w:r w:rsidR="006A1A25">
        <w:rPr>
          <w:lang w:val="en-US"/>
        </w:rPr>
        <w:t xml:space="preserve">via the GC-PDCCH to cancel the type B PDSCH mapping </w:t>
      </w:r>
      <w:r w:rsidR="000D1958">
        <w:rPr>
          <w:lang w:val="en-US"/>
        </w:rPr>
        <w:t xml:space="preserve">monitoring occasions in the slots where the gNB </w:t>
      </w:r>
      <w:r w:rsidR="00BC205E">
        <w:rPr>
          <w:lang w:val="en-US"/>
        </w:rPr>
        <w:t>does not intend</w:t>
      </w:r>
      <w:r w:rsidR="000D1958">
        <w:rPr>
          <w:lang w:val="en-US"/>
        </w:rPr>
        <w:t xml:space="preserve"> to </w:t>
      </w:r>
      <w:r w:rsidR="00BC205E">
        <w:rPr>
          <w:lang w:val="en-US"/>
        </w:rPr>
        <w:t>use scheduling for Type B PDSCH</w:t>
      </w:r>
      <w:r w:rsidR="000D1958">
        <w:rPr>
          <w:lang w:val="en-US"/>
        </w:rPr>
        <w:t>. If the UE doesn’t receive a GC-PDCCH, that cancels a particular monitoring occasion, the UE continues to monitor it.</w:t>
      </w:r>
    </w:p>
    <w:p w14:paraId="37934A31" w14:textId="3817AB0A" w:rsidR="00604BEE" w:rsidRPr="00437052" w:rsidRDefault="00516343" w:rsidP="00F4423D">
      <w:pPr>
        <w:pStyle w:val="BodyText"/>
        <w:rPr>
          <w:lang w:val="en-US"/>
        </w:rPr>
      </w:pPr>
      <w:r>
        <w:rPr>
          <w:lang w:val="en-US"/>
        </w:rPr>
        <w:t xml:space="preserve">The following example is illustrative of how Rel-15 </w:t>
      </w:r>
      <w:r w:rsidR="00CC4CD3">
        <w:rPr>
          <w:lang w:val="en-US"/>
        </w:rPr>
        <w:t>behavior</w:t>
      </w:r>
      <w:r>
        <w:rPr>
          <w:lang w:val="en-US"/>
        </w:rPr>
        <w:t xml:space="preserve"> could be used by the gNB. In unlicensed spectrum</w:t>
      </w:r>
      <w:r w:rsidR="008813D3">
        <w:rPr>
          <w:lang w:val="en-US"/>
        </w:rPr>
        <w:t xml:space="preserve"> there is no assurance</w:t>
      </w:r>
      <w:r w:rsidR="004732EB">
        <w:rPr>
          <w:lang w:val="en-US"/>
        </w:rPr>
        <w:t xml:space="preserve"> </w:t>
      </w:r>
      <w:r w:rsidR="000425F9">
        <w:rPr>
          <w:lang w:val="en-US"/>
        </w:rPr>
        <w:t xml:space="preserve">when transmission can </w:t>
      </w:r>
      <w:r w:rsidR="00391783">
        <w:rPr>
          <w:lang w:val="en-US"/>
        </w:rPr>
        <w:t xml:space="preserve">occur </w:t>
      </w:r>
      <w:r w:rsidR="000425F9">
        <w:rPr>
          <w:lang w:val="en-US"/>
        </w:rPr>
        <w:t xml:space="preserve">due to </w:t>
      </w:r>
      <w:r w:rsidR="00391783">
        <w:rPr>
          <w:lang w:val="en-US"/>
        </w:rPr>
        <w:t xml:space="preserve">the </w:t>
      </w:r>
      <w:r w:rsidR="00DE28D8">
        <w:rPr>
          <w:lang w:val="en-US"/>
        </w:rPr>
        <w:t>channel access mechanism</w:t>
      </w:r>
      <w:r>
        <w:rPr>
          <w:lang w:val="en-US"/>
        </w:rPr>
        <w:t xml:space="preserve">, </w:t>
      </w:r>
      <w:r w:rsidR="002F1A75">
        <w:rPr>
          <w:lang w:val="en-US"/>
        </w:rPr>
        <w:t xml:space="preserve">therefore </w:t>
      </w:r>
      <w:r>
        <w:rPr>
          <w:lang w:val="en-US"/>
        </w:rPr>
        <w:t>the gNB does not provide</w:t>
      </w:r>
      <w:r w:rsidR="00437052" w:rsidRPr="00437052">
        <w:rPr>
          <w:i/>
          <w:iCs/>
        </w:rPr>
        <w:t xml:space="preserve"> </w:t>
      </w:r>
      <w:r w:rsidR="00437052">
        <w:rPr>
          <w:i/>
          <w:iCs/>
        </w:rPr>
        <w:t>tdd-UL-DL-ConfigurationCommon</w:t>
      </w:r>
      <w:r w:rsidR="00437052">
        <w:rPr>
          <w:iCs/>
        </w:rPr>
        <w:t xml:space="preserve"> or </w:t>
      </w:r>
      <w:r w:rsidR="00437052">
        <w:rPr>
          <w:i/>
          <w:iCs/>
        </w:rPr>
        <w:t>tdd-UL-DL-ConfigurationDedicated</w:t>
      </w:r>
      <w:r w:rsidR="00437052">
        <w:rPr>
          <w:iCs/>
        </w:rPr>
        <w:t xml:space="preserve"> to the UE</w:t>
      </w:r>
      <w:r w:rsidR="00102C42">
        <w:rPr>
          <w:iCs/>
        </w:rPr>
        <w:t xml:space="preserve"> </w:t>
      </w:r>
      <w:r w:rsidR="006577CC">
        <w:rPr>
          <w:iCs/>
        </w:rPr>
        <w:t>n</w:t>
      </w:r>
      <w:r w:rsidR="00102C42">
        <w:rPr>
          <w:iCs/>
        </w:rPr>
        <w:t xml:space="preserve">or </w:t>
      </w:r>
      <w:r w:rsidR="006577CC">
        <w:rPr>
          <w:iCs/>
        </w:rPr>
        <w:t xml:space="preserve">should it </w:t>
      </w:r>
      <w:r w:rsidR="00102C42">
        <w:rPr>
          <w:iCs/>
        </w:rPr>
        <w:t xml:space="preserve">indicate all symbols to be flexible using these configurations. </w:t>
      </w:r>
      <w:r w:rsidR="006577CC">
        <w:rPr>
          <w:iCs/>
        </w:rPr>
        <w:t>Hence</w:t>
      </w:r>
      <w:r w:rsidR="00102C42">
        <w:rPr>
          <w:iCs/>
        </w:rPr>
        <w:t xml:space="preserve">, the UE will monitor all search spaces configured to it. These can include search spaces both for type A and type B PDSCH. When the gNB obtains access to the channel, it can send a GC-PDCCH indicating the symbols corresponding to the monitoring occasions in the </w:t>
      </w:r>
      <w:r w:rsidR="007F01AE">
        <w:rPr>
          <w:iCs/>
        </w:rPr>
        <w:t xml:space="preserve">current and upcoming slots to be flexible. As per Rel-15 </w:t>
      </w:r>
      <w:r w:rsidR="006577CC">
        <w:rPr>
          <w:iCs/>
        </w:rPr>
        <w:t>behavior</w:t>
      </w:r>
      <w:r w:rsidR="007F01AE">
        <w:rPr>
          <w:iCs/>
        </w:rPr>
        <w:t>,</w:t>
      </w:r>
      <w:r w:rsidR="00354C80">
        <w:rPr>
          <w:iCs/>
        </w:rPr>
        <w:t xml:space="preserve"> </w:t>
      </w:r>
      <w:r w:rsidR="00354C80">
        <w:rPr>
          <w:lang w:val="en-US"/>
        </w:rPr>
        <w:t xml:space="preserve">clause 11.1.1 in </w:t>
      </w:r>
      <w:r w:rsidR="00354C80">
        <w:rPr>
          <w:lang w:val="en-US"/>
        </w:rPr>
        <w:fldChar w:fldCharType="begin"/>
      </w:r>
      <w:r w:rsidR="00354C80">
        <w:rPr>
          <w:lang w:val="en-US"/>
        </w:rPr>
        <w:instrText xml:space="preserve"> REF _Ref534892220 \r \h </w:instrText>
      </w:r>
      <w:r w:rsidR="00354C80">
        <w:rPr>
          <w:lang w:val="en-US"/>
        </w:rPr>
      </w:r>
      <w:r w:rsidR="00354C80">
        <w:rPr>
          <w:lang w:val="en-US"/>
        </w:rPr>
        <w:fldChar w:fldCharType="separate"/>
      </w:r>
      <w:r w:rsidR="00431AC5">
        <w:rPr>
          <w:lang w:val="en-US"/>
        </w:rPr>
        <w:t>[4]</w:t>
      </w:r>
      <w:r w:rsidR="00354C80">
        <w:rPr>
          <w:lang w:val="en-US"/>
        </w:rPr>
        <w:fldChar w:fldCharType="end"/>
      </w:r>
      <w:r w:rsidR="00354C80">
        <w:rPr>
          <w:lang w:val="en-US"/>
        </w:rPr>
        <w:t xml:space="preserve"> (see </w:t>
      </w:r>
      <w:r w:rsidR="00354C80">
        <w:rPr>
          <w:lang w:val="en-US"/>
        </w:rPr>
        <w:fldChar w:fldCharType="begin"/>
      </w:r>
      <w:r w:rsidR="00354C80">
        <w:rPr>
          <w:lang w:val="en-US"/>
        </w:rPr>
        <w:instrText xml:space="preserve"> REF _Ref16853743 \h </w:instrText>
      </w:r>
      <w:r w:rsidR="00354C80">
        <w:rPr>
          <w:lang w:val="en-US"/>
        </w:rPr>
      </w:r>
      <w:r w:rsidR="00354C80">
        <w:rPr>
          <w:lang w:val="en-US"/>
        </w:rPr>
        <w:fldChar w:fldCharType="separate"/>
      </w:r>
      <w:r w:rsidR="00431AC5">
        <w:rPr>
          <w:lang w:val="en-US"/>
        </w:rPr>
        <w:t>Appendix I</w:t>
      </w:r>
      <w:r w:rsidR="00354C80">
        <w:rPr>
          <w:lang w:val="en-US"/>
        </w:rPr>
        <w:fldChar w:fldCharType="end"/>
      </w:r>
      <w:r w:rsidR="00354C80">
        <w:rPr>
          <w:lang w:val="en-US"/>
        </w:rPr>
        <w:t>),</w:t>
      </w:r>
      <w:r w:rsidR="007F01AE">
        <w:rPr>
          <w:iCs/>
        </w:rPr>
        <w:t xml:space="preserve"> the UE will then stop monitoring for PDCCH in these </w:t>
      </w:r>
      <w:r w:rsidR="006577CC">
        <w:rPr>
          <w:iCs/>
        </w:rPr>
        <w:t>symbols</w:t>
      </w:r>
      <w:r w:rsidR="007F01AE">
        <w:rPr>
          <w:iCs/>
        </w:rPr>
        <w:t xml:space="preserve">. The gNB can provide such information either through one or multiple GC-PDCCH messages during the channel occupancy and for monitoring occasions within the channel occupancy. The UE continues to monitor Type B PDSCHs in occasions for which no additional information has been received via the GC-PDCCH and hence, monitoring naturally reverts to be more frequent when the channel occupancy ends. </w:t>
      </w:r>
    </w:p>
    <w:p w14:paraId="1AC096C8" w14:textId="5457860B" w:rsidR="00E641D8" w:rsidRPr="007E5430" w:rsidRDefault="006577CC" w:rsidP="00BB51CC">
      <w:pPr>
        <w:pStyle w:val="BodyText"/>
        <w:rPr>
          <w:rStyle w:val="IvDbodytextChar"/>
          <w:rFonts w:cs="Times New Roman"/>
          <w:iCs/>
          <w:sz w:val="20"/>
          <w:lang w:val="en-US"/>
        </w:rPr>
      </w:pPr>
      <w:r>
        <w:rPr>
          <w:lang w:val="en-US"/>
        </w:rPr>
        <w:t>In previous meetings, there have been</w:t>
      </w:r>
      <w:r w:rsidR="008F5DEB">
        <w:rPr>
          <w:lang w:val="en-US"/>
        </w:rPr>
        <w:t xml:space="preserve"> proposals which suggest </w:t>
      </w:r>
      <w:r w:rsidR="00BF4A8C">
        <w:rPr>
          <w:lang w:val="en-US"/>
        </w:rPr>
        <w:t>performing</w:t>
      </w:r>
      <w:r w:rsidR="0032741A">
        <w:rPr>
          <w:lang w:val="en-US"/>
        </w:rPr>
        <w:t xml:space="preserve"> the s</w:t>
      </w:r>
      <w:r w:rsidR="003153CD">
        <w:rPr>
          <w:lang w:val="en-US"/>
        </w:rPr>
        <w:t>witching between different monitoring</w:t>
      </w:r>
      <w:r w:rsidR="00C32175">
        <w:rPr>
          <w:lang w:val="en-US"/>
        </w:rPr>
        <w:t xml:space="preserve"> </w:t>
      </w:r>
      <w:r w:rsidR="003153CD">
        <w:rPr>
          <w:lang w:val="en-US"/>
        </w:rPr>
        <w:t>occasions implicitly</w:t>
      </w:r>
      <w:r w:rsidR="00410666">
        <w:rPr>
          <w:lang w:val="en-US"/>
        </w:rPr>
        <w:t xml:space="preserve"> or explicitly</w:t>
      </w:r>
      <w:r w:rsidR="003153CD">
        <w:rPr>
          <w:lang w:val="en-US"/>
        </w:rPr>
        <w:t xml:space="preserve"> </w:t>
      </w:r>
      <w:r w:rsidR="00B763AE">
        <w:rPr>
          <w:lang w:val="en-US"/>
        </w:rPr>
        <w:t xml:space="preserve">upon </w:t>
      </w:r>
      <w:r w:rsidR="0032741A">
        <w:rPr>
          <w:lang w:val="en-US"/>
        </w:rPr>
        <w:t xml:space="preserve">the </w:t>
      </w:r>
      <w:r w:rsidR="00B763AE">
        <w:rPr>
          <w:lang w:val="en-US"/>
        </w:rPr>
        <w:t>detection of</w:t>
      </w:r>
      <w:r w:rsidR="003153CD">
        <w:rPr>
          <w:lang w:val="en-US"/>
        </w:rPr>
        <w:t xml:space="preserve"> </w:t>
      </w:r>
      <w:r w:rsidR="00CA1F84">
        <w:rPr>
          <w:lang w:val="en-US"/>
        </w:rPr>
        <w:t>GC-PDCCH</w:t>
      </w:r>
      <w:r w:rsidR="004608D9">
        <w:rPr>
          <w:lang w:val="en-US"/>
        </w:rPr>
        <w:t>.</w:t>
      </w:r>
      <w:r w:rsidR="00CA1F84">
        <w:rPr>
          <w:lang w:val="en-US"/>
        </w:rPr>
        <w:t xml:space="preserve"> </w:t>
      </w:r>
      <w:r w:rsidR="00BC205E">
        <w:rPr>
          <w:lang w:val="en-US"/>
        </w:rPr>
        <w:t>Considering the existence of a procedure in Rel-15, adding new behavior such as this needs to have a strong motivation.</w:t>
      </w:r>
    </w:p>
    <w:p w14:paraId="19E5AD42" w14:textId="25414742" w:rsidR="00BB51CC" w:rsidRPr="00BB51CC" w:rsidRDefault="005D2BDB" w:rsidP="00AB1542">
      <w:pPr>
        <w:pStyle w:val="Observation"/>
        <w:rPr>
          <w:lang w:val="en-US"/>
        </w:rPr>
      </w:pPr>
      <w:bookmarkStart w:id="17" w:name="_Toc525720714"/>
      <w:bookmarkStart w:id="18" w:name="_Toc16886759"/>
      <w:r>
        <w:rPr>
          <w:lang w:val="en-US"/>
        </w:rPr>
        <w:t>D</w:t>
      </w:r>
      <w:r w:rsidR="008B57E2" w:rsidRPr="00BB51CC">
        <w:rPr>
          <w:lang w:val="en-US"/>
        </w:rPr>
        <w:t xml:space="preserve">ynamic indication of </w:t>
      </w:r>
      <w:r w:rsidR="0048380D">
        <w:rPr>
          <w:lang w:val="en-US"/>
        </w:rPr>
        <w:t xml:space="preserve">the cancellation of the more frequent (mini-slot based) PDCCH monitoring occasions </w:t>
      </w:r>
      <w:r w:rsidR="00D46862">
        <w:rPr>
          <w:lang w:val="en-US"/>
        </w:rPr>
        <w:t xml:space="preserve">via </w:t>
      </w:r>
      <w:r w:rsidR="0048380D">
        <w:rPr>
          <w:lang w:val="en-US"/>
        </w:rPr>
        <w:t>GC-PDCCH</w:t>
      </w:r>
      <w:r w:rsidR="00D46862">
        <w:rPr>
          <w:lang w:val="en-US"/>
        </w:rPr>
        <w:t xml:space="preserve"> </w:t>
      </w:r>
      <w:r w:rsidR="0048380D">
        <w:rPr>
          <w:lang w:val="en-US"/>
        </w:rPr>
        <w:t xml:space="preserve">signaling </w:t>
      </w:r>
      <w:r w:rsidR="00D46862">
        <w:rPr>
          <w:lang w:val="en-US"/>
        </w:rPr>
        <w:t xml:space="preserve">is </w:t>
      </w:r>
      <w:r w:rsidR="00390BC7">
        <w:rPr>
          <w:lang w:val="en-US"/>
        </w:rPr>
        <w:t xml:space="preserve">already </w:t>
      </w:r>
      <w:r w:rsidR="00D46862">
        <w:rPr>
          <w:lang w:val="en-US"/>
        </w:rPr>
        <w:t>possible</w:t>
      </w:r>
      <w:r w:rsidR="00390BC7">
        <w:rPr>
          <w:lang w:val="en-US"/>
        </w:rPr>
        <w:t xml:space="preserve"> </w:t>
      </w:r>
      <w:r w:rsidR="006577CC">
        <w:rPr>
          <w:lang w:val="en-US"/>
        </w:rPr>
        <w:t xml:space="preserve">through existing procedures </w:t>
      </w:r>
      <w:r w:rsidR="00D46862">
        <w:rPr>
          <w:lang w:val="en-US"/>
        </w:rPr>
        <w:t>in Rel-15. No further enhancements are necessary for controlling PDCCH monitoring frequency in Rel-16.</w:t>
      </w:r>
      <w:bookmarkEnd w:id="17"/>
      <w:bookmarkEnd w:id="18"/>
    </w:p>
    <w:p w14:paraId="65D2BBCB" w14:textId="3B2650A5" w:rsidR="000B7F6B" w:rsidRPr="000B7F6B" w:rsidRDefault="000B7F6B" w:rsidP="002951EE">
      <w:pPr>
        <w:pStyle w:val="Heading1"/>
        <w:numPr>
          <w:ilvl w:val="0"/>
          <w:numId w:val="17"/>
        </w:numPr>
        <w:rPr>
          <w:lang w:val="en-US" w:eastAsia="zh-CN"/>
        </w:rPr>
      </w:pPr>
      <w:bookmarkStart w:id="19" w:name="_Toc521503146"/>
      <w:bookmarkStart w:id="20" w:name="_Toc521660569"/>
      <w:bookmarkStart w:id="21" w:name="_Toc521660635"/>
      <w:bookmarkStart w:id="22" w:name="_Toc521660672"/>
      <w:bookmarkStart w:id="23" w:name="_Toc521660731"/>
      <w:bookmarkStart w:id="24" w:name="_Toc521660777"/>
      <w:bookmarkStart w:id="25" w:name="_Toc521660889"/>
      <w:bookmarkStart w:id="26" w:name="_Toc521660943"/>
      <w:bookmarkStart w:id="27" w:name="_Toc521660964"/>
      <w:bookmarkStart w:id="28" w:name="_Toc521503028"/>
      <w:bookmarkStart w:id="29" w:name="_Toc521503147"/>
      <w:bookmarkStart w:id="30" w:name="_Toc521660570"/>
      <w:bookmarkStart w:id="31" w:name="_Toc521660636"/>
      <w:bookmarkStart w:id="32" w:name="_Toc521660673"/>
      <w:bookmarkStart w:id="33" w:name="_Toc521660732"/>
      <w:bookmarkStart w:id="34" w:name="_Toc521660778"/>
      <w:bookmarkStart w:id="35" w:name="_Toc521660890"/>
      <w:bookmarkStart w:id="36" w:name="_Toc521660944"/>
      <w:bookmarkStart w:id="37" w:name="_Toc521660965"/>
      <w:bookmarkStart w:id="38" w:name="_Toc4697229"/>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t>COT Structure Indication</w:t>
      </w:r>
      <w:r>
        <w:rPr>
          <w:lang w:val="en-US" w:eastAsia="zh-CN"/>
        </w:rPr>
        <w:t xml:space="preserve"> </w:t>
      </w:r>
    </w:p>
    <w:p w14:paraId="0024A8FF" w14:textId="27D2DD7A" w:rsidR="00957774" w:rsidRPr="002F5880" w:rsidRDefault="00957774" w:rsidP="00957774">
      <w:pPr>
        <w:pStyle w:val="BodyText"/>
        <w:rPr>
          <w:lang w:val="en-US"/>
        </w:rPr>
      </w:pPr>
      <w:r w:rsidRPr="005E0680">
        <w:rPr>
          <w:lang w:val="en-US"/>
        </w:rPr>
        <w:t xml:space="preserve">In </w:t>
      </w:r>
      <w:r w:rsidR="00E553DF" w:rsidRPr="005E0680">
        <w:rPr>
          <w:lang w:val="en-US"/>
        </w:rPr>
        <w:t>LTE-</w:t>
      </w:r>
      <w:r w:rsidRPr="005E0680">
        <w:rPr>
          <w:lang w:val="en-US"/>
        </w:rPr>
        <w:t>L</w:t>
      </w:r>
      <w:r w:rsidR="00E553DF" w:rsidRPr="005E0680">
        <w:rPr>
          <w:lang w:val="en-US"/>
        </w:rPr>
        <w:t>AA,</w:t>
      </w:r>
      <w:r w:rsidRPr="005E0680">
        <w:rPr>
          <w:lang w:val="en-US"/>
        </w:rPr>
        <w:t xml:space="preserve"> indication of cell specific </w:t>
      </w:r>
      <w:r w:rsidR="00D663A5" w:rsidRPr="005E0680">
        <w:rPr>
          <w:lang w:val="en-US"/>
        </w:rPr>
        <w:t>“</w:t>
      </w:r>
      <w:r w:rsidRPr="005E0680">
        <w:rPr>
          <w:lang w:val="en-US"/>
        </w:rPr>
        <w:t>subframe configuration</w:t>
      </w:r>
      <w:r w:rsidR="00D663A5" w:rsidRPr="005E0680">
        <w:rPr>
          <w:lang w:val="en-US"/>
        </w:rPr>
        <w:t xml:space="preserve"> for LAA”</w:t>
      </w:r>
      <w:r w:rsidRPr="005E0680">
        <w:rPr>
          <w:lang w:val="en-US"/>
        </w:rPr>
        <w:t xml:space="preserve"> of two consecutive subframe</w:t>
      </w:r>
      <w:r w:rsidR="00E553DF" w:rsidRPr="005E0680">
        <w:rPr>
          <w:lang w:val="en-US"/>
        </w:rPr>
        <w:t>s</w:t>
      </w:r>
      <w:r w:rsidRPr="005E0680">
        <w:rPr>
          <w:lang w:val="en-US"/>
        </w:rPr>
        <w:t xml:space="preserve"> to </w:t>
      </w:r>
      <w:r w:rsidR="00E553DF" w:rsidRPr="005E0680">
        <w:rPr>
          <w:lang w:val="en-US"/>
        </w:rPr>
        <w:t xml:space="preserve">a </w:t>
      </w:r>
      <w:r w:rsidRPr="005E0680">
        <w:rPr>
          <w:lang w:val="en-US"/>
        </w:rPr>
        <w:t xml:space="preserve">group of UEs </w:t>
      </w:r>
      <w:r w:rsidR="00E553DF" w:rsidRPr="005E0680">
        <w:rPr>
          <w:lang w:val="en-US"/>
        </w:rPr>
        <w:t>is</w:t>
      </w:r>
      <w:r w:rsidRPr="005E0680">
        <w:rPr>
          <w:lang w:val="en-US"/>
        </w:rPr>
        <w:t xml:space="preserve"> specified using DCI </w:t>
      </w:r>
      <w:r w:rsidR="00E553DF" w:rsidRPr="005E0680">
        <w:rPr>
          <w:lang w:val="en-US"/>
        </w:rPr>
        <w:t xml:space="preserve">with </w:t>
      </w:r>
      <w:r w:rsidRPr="005E0680">
        <w:rPr>
          <w:lang w:val="en-US"/>
        </w:rPr>
        <w:t xml:space="preserve">CRC scrambled by CC-RNTI. </w:t>
      </w:r>
      <w:r w:rsidR="00B37677" w:rsidRPr="005E0680">
        <w:rPr>
          <w:lang w:val="en-US"/>
        </w:rPr>
        <w:t xml:space="preserve">The </w:t>
      </w:r>
      <w:r w:rsidR="00B5097E" w:rsidRPr="005E0680">
        <w:rPr>
          <w:lang w:val="en-US"/>
        </w:rPr>
        <w:t xml:space="preserve">advantage </w:t>
      </w:r>
      <w:r w:rsidR="00B5097E" w:rsidRPr="002F5880">
        <w:rPr>
          <w:lang w:val="en-US"/>
        </w:rPr>
        <w:t xml:space="preserve">of group </w:t>
      </w:r>
      <w:r w:rsidR="00E553DF" w:rsidRPr="002F5880">
        <w:rPr>
          <w:lang w:val="en-US"/>
        </w:rPr>
        <w:t xml:space="preserve">common </w:t>
      </w:r>
      <w:r w:rsidR="00FF06E3" w:rsidRPr="002F5880">
        <w:rPr>
          <w:lang w:val="en-US"/>
        </w:rPr>
        <w:t>signaling</w:t>
      </w:r>
      <w:r w:rsidR="00B37677" w:rsidRPr="002F5880">
        <w:rPr>
          <w:lang w:val="en-US"/>
        </w:rPr>
        <w:t>, among other</w:t>
      </w:r>
      <w:r w:rsidR="00690FA7" w:rsidRPr="002F5880">
        <w:rPr>
          <w:lang w:val="en-US"/>
        </w:rPr>
        <w:t xml:space="preserve"> things</w:t>
      </w:r>
      <w:r w:rsidR="00B37677" w:rsidRPr="002F5880">
        <w:rPr>
          <w:lang w:val="en-US"/>
        </w:rPr>
        <w:t>, is for the UE to make decisions on deferring PDCCH monitoring and/or to defer sensing the medium for the purposes of UL transmissions, e.g., transmission of scheduling requests (SR)</w:t>
      </w:r>
      <w:r w:rsidR="00690FA7" w:rsidRPr="002F5880">
        <w:rPr>
          <w:lang w:val="en-US"/>
        </w:rPr>
        <w:t xml:space="preserve">, which results in less </w:t>
      </w:r>
      <w:r w:rsidR="00B37677" w:rsidRPr="002F5880">
        <w:rPr>
          <w:lang w:val="en-US"/>
        </w:rPr>
        <w:t xml:space="preserve">power </w:t>
      </w:r>
      <w:r w:rsidR="00690FA7" w:rsidRPr="002F5880">
        <w:rPr>
          <w:lang w:val="en-US"/>
        </w:rPr>
        <w:t>consumption</w:t>
      </w:r>
      <w:r w:rsidR="00B37677" w:rsidRPr="002F5880">
        <w:rPr>
          <w:lang w:val="en-US"/>
        </w:rPr>
        <w:t xml:space="preserve">. </w:t>
      </w:r>
      <w:r w:rsidR="001D351D" w:rsidRPr="002F5880">
        <w:rPr>
          <w:lang w:val="en-US"/>
        </w:rPr>
        <w:t xml:space="preserve">The LAA </w:t>
      </w:r>
      <w:r w:rsidR="00540C55" w:rsidRPr="002F5880">
        <w:rPr>
          <w:lang w:val="en-US"/>
        </w:rPr>
        <w:t>group</w:t>
      </w:r>
      <w:r w:rsidR="001D351D" w:rsidRPr="002F5880">
        <w:rPr>
          <w:lang w:val="en-US"/>
        </w:rPr>
        <w:t xml:space="preserve"> common information DCI carries the following fields </w:t>
      </w:r>
      <w:r w:rsidR="0025592E" w:rsidRPr="002F5880">
        <w:rPr>
          <w:lang w:val="en-US"/>
        </w:rPr>
        <w:fldChar w:fldCharType="begin"/>
      </w:r>
      <w:r w:rsidR="0025592E" w:rsidRPr="002F5880">
        <w:rPr>
          <w:lang w:val="en-US"/>
        </w:rPr>
        <w:instrText xml:space="preserve"> REF _Ref1172541 \r \h </w:instrText>
      </w:r>
      <w:r w:rsidR="002F5880">
        <w:rPr>
          <w:lang w:val="en-US"/>
        </w:rPr>
        <w:instrText xml:space="preserve"> \* MERGEFORMAT </w:instrText>
      </w:r>
      <w:r w:rsidR="0025592E" w:rsidRPr="002F5880">
        <w:rPr>
          <w:lang w:val="en-US"/>
        </w:rPr>
      </w:r>
      <w:r w:rsidR="0025592E" w:rsidRPr="002F5880">
        <w:rPr>
          <w:lang w:val="en-US"/>
        </w:rPr>
        <w:fldChar w:fldCharType="separate"/>
      </w:r>
      <w:r w:rsidR="00431AC5">
        <w:rPr>
          <w:lang w:val="en-US"/>
        </w:rPr>
        <w:t>[6]</w:t>
      </w:r>
      <w:r w:rsidR="0025592E" w:rsidRPr="002F5880">
        <w:rPr>
          <w:lang w:val="en-US"/>
        </w:rPr>
        <w:fldChar w:fldCharType="end"/>
      </w:r>
      <w:r w:rsidR="001F2207" w:rsidRPr="002F5880">
        <w:rPr>
          <w:lang w:val="en-US"/>
        </w:rPr>
        <w:t xml:space="preserve"> </w:t>
      </w:r>
      <w:r w:rsidR="00AB065B" w:rsidRPr="002F5880">
        <w:rPr>
          <w:lang w:val="en-US"/>
        </w:rPr>
        <w:t xml:space="preserve">that are </w:t>
      </w:r>
      <w:r w:rsidR="001F2207" w:rsidRPr="002F5880">
        <w:rPr>
          <w:lang w:val="en-US"/>
        </w:rPr>
        <w:t>relat</w:t>
      </w:r>
      <w:r w:rsidR="00AB065B" w:rsidRPr="002F5880">
        <w:rPr>
          <w:lang w:val="en-US"/>
        </w:rPr>
        <w:t>ed</w:t>
      </w:r>
      <w:r w:rsidR="001F2207" w:rsidRPr="002F5880">
        <w:rPr>
          <w:lang w:val="en-US"/>
        </w:rPr>
        <w:t xml:space="preserve"> to </w:t>
      </w:r>
      <w:r w:rsidR="009461A3" w:rsidRPr="002F5880">
        <w:rPr>
          <w:lang w:val="en-US"/>
        </w:rPr>
        <w:t>subframe structure and COT sharing:</w:t>
      </w:r>
    </w:p>
    <w:p w14:paraId="31A5DA9D" w14:textId="55D9F23F" w:rsidR="001D351D" w:rsidRPr="002F5880" w:rsidRDefault="00023C1F" w:rsidP="002951EE">
      <w:pPr>
        <w:pStyle w:val="BodyText"/>
        <w:numPr>
          <w:ilvl w:val="0"/>
          <w:numId w:val="19"/>
        </w:numPr>
        <w:rPr>
          <w:lang w:val="en-US"/>
        </w:rPr>
      </w:pPr>
      <w:r w:rsidRPr="002F5880">
        <w:rPr>
          <w:lang w:val="en-US"/>
        </w:rPr>
        <w:t>Current and next s</w:t>
      </w:r>
      <w:r w:rsidR="001D351D" w:rsidRPr="002F5880">
        <w:rPr>
          <w:lang w:val="en-US"/>
        </w:rPr>
        <w:t>ubframe configuration</w:t>
      </w:r>
      <w:r w:rsidR="005D16A1" w:rsidRPr="002F5880">
        <w:rPr>
          <w:lang w:val="en-US"/>
        </w:rPr>
        <w:t>.</w:t>
      </w:r>
    </w:p>
    <w:p w14:paraId="42C09712" w14:textId="2E1260C7" w:rsidR="001D351D" w:rsidRPr="002F5880" w:rsidRDefault="001D351D" w:rsidP="002951EE">
      <w:pPr>
        <w:pStyle w:val="BodyText"/>
        <w:numPr>
          <w:ilvl w:val="0"/>
          <w:numId w:val="18"/>
        </w:numPr>
        <w:rPr>
          <w:lang w:val="en-US"/>
        </w:rPr>
      </w:pPr>
      <w:r w:rsidRPr="002F5880">
        <w:rPr>
          <w:lang w:val="en-US"/>
        </w:rPr>
        <w:t>UL duration and offset</w:t>
      </w:r>
      <w:r w:rsidR="00C45017" w:rsidRPr="002F5880">
        <w:rPr>
          <w:lang w:val="en-US"/>
        </w:rPr>
        <w:t xml:space="preserve"> which provides </w:t>
      </w:r>
      <w:r w:rsidR="00403C81" w:rsidRPr="002F5880">
        <w:rPr>
          <w:lang w:val="en-US"/>
        </w:rPr>
        <w:t>UEs the possibility of using CAT</w:t>
      </w:r>
      <w:r w:rsidR="00C45017" w:rsidRPr="002F5880">
        <w:rPr>
          <w:lang w:val="en-US"/>
        </w:rPr>
        <w:t>2</w:t>
      </w:r>
      <w:r w:rsidR="00403C81" w:rsidRPr="002F5880">
        <w:rPr>
          <w:lang w:val="en-US"/>
        </w:rPr>
        <w:t xml:space="preserve"> LBT for transmission </w:t>
      </w:r>
      <w:r w:rsidR="005D16A1" w:rsidRPr="002F5880">
        <w:rPr>
          <w:lang w:val="en-US"/>
        </w:rPr>
        <w:t>when DL</w:t>
      </w:r>
      <w:r w:rsidR="00AB47E2" w:rsidRPr="002F5880">
        <w:rPr>
          <w:lang w:val="en-US"/>
        </w:rPr>
        <w:t>-</w:t>
      </w:r>
      <w:r w:rsidR="005D16A1" w:rsidRPr="002F5880">
        <w:rPr>
          <w:lang w:val="en-US"/>
        </w:rPr>
        <w:t xml:space="preserve">UL switching </w:t>
      </w:r>
      <w:r w:rsidR="00C45017" w:rsidRPr="002F5880">
        <w:rPr>
          <w:lang w:val="en-US"/>
        </w:rPr>
        <w:t xml:space="preserve">occurs </w:t>
      </w:r>
      <w:r w:rsidR="005D16A1" w:rsidRPr="002F5880">
        <w:rPr>
          <w:lang w:val="en-US"/>
        </w:rPr>
        <w:t xml:space="preserve">within the shared COT. </w:t>
      </w:r>
    </w:p>
    <w:p w14:paraId="7FFE689F" w14:textId="5A64B916" w:rsidR="001D351D" w:rsidRPr="002F5880" w:rsidRDefault="00112F7A" w:rsidP="002951EE">
      <w:pPr>
        <w:pStyle w:val="BodyText"/>
        <w:numPr>
          <w:ilvl w:val="0"/>
          <w:numId w:val="18"/>
        </w:numPr>
        <w:rPr>
          <w:lang w:val="en-US"/>
        </w:rPr>
      </w:pPr>
      <w:r w:rsidRPr="002F5880">
        <w:rPr>
          <w:lang w:val="en-US"/>
        </w:rPr>
        <w:t xml:space="preserve">1-bit </w:t>
      </w:r>
      <w:r w:rsidR="001D351D" w:rsidRPr="002F5880">
        <w:rPr>
          <w:lang w:val="en-US"/>
        </w:rPr>
        <w:t>COT sharing indication for AUL</w:t>
      </w:r>
      <w:r w:rsidR="00FE4EF5" w:rsidRPr="002F5880">
        <w:rPr>
          <w:lang w:val="en-US"/>
        </w:rPr>
        <w:t xml:space="preserve"> which means AUL transmission can be performed according to specifications within the UL part of the COT.</w:t>
      </w:r>
    </w:p>
    <w:p w14:paraId="4B76D6DC" w14:textId="1A801A34" w:rsidR="00852F3C" w:rsidRPr="002F5880" w:rsidRDefault="00852F3C" w:rsidP="00852F3C">
      <w:pPr>
        <w:pStyle w:val="Heading2"/>
        <w:rPr>
          <w:lang w:val="en-US"/>
        </w:rPr>
      </w:pPr>
      <w:r w:rsidRPr="002F5880">
        <w:rPr>
          <w:lang w:val="en-US"/>
        </w:rPr>
        <w:t>4.1</w:t>
      </w:r>
      <w:r w:rsidRPr="002F5880">
        <w:rPr>
          <w:lang w:val="en-US"/>
        </w:rPr>
        <w:tab/>
      </w:r>
      <w:r w:rsidR="00DE2CC9" w:rsidRPr="002F5880">
        <w:rPr>
          <w:lang w:val="en-US"/>
        </w:rPr>
        <w:t>DCI format 2_0 for COT structure indication</w:t>
      </w:r>
    </w:p>
    <w:p w14:paraId="651D695E" w14:textId="675CE74C" w:rsidR="00193CD4" w:rsidRPr="002F5880" w:rsidRDefault="005C4413" w:rsidP="00193CD4">
      <w:pPr>
        <w:pStyle w:val="BodyText"/>
        <w:rPr>
          <w:lang w:val="en-US"/>
        </w:rPr>
      </w:pPr>
      <w:r w:rsidRPr="002F5880">
        <w:rPr>
          <w:lang w:val="en-US"/>
        </w:rPr>
        <w:t xml:space="preserve">For </w:t>
      </w:r>
      <w:r w:rsidR="009C6F7F" w:rsidRPr="002F5880">
        <w:rPr>
          <w:lang w:val="en-US"/>
        </w:rPr>
        <w:t>the same reasons</w:t>
      </w:r>
      <w:r w:rsidR="001D51E9" w:rsidRPr="002F5880">
        <w:rPr>
          <w:lang w:val="en-US"/>
        </w:rPr>
        <w:t xml:space="preserve"> as LAA</w:t>
      </w:r>
      <w:r w:rsidR="00DA3DBA">
        <w:rPr>
          <w:lang w:val="en-US"/>
        </w:rPr>
        <w:t>, we observe that</w:t>
      </w:r>
      <w:r w:rsidR="00B655FA" w:rsidRPr="002F5880">
        <w:rPr>
          <w:lang w:val="en-US"/>
        </w:rPr>
        <w:t xml:space="preserve"> </w:t>
      </w:r>
      <w:r w:rsidR="00941DEC">
        <w:rPr>
          <w:lang w:val="en-US"/>
        </w:rPr>
        <w:t xml:space="preserve">functionality to provide </w:t>
      </w:r>
      <w:r w:rsidR="008D0F83">
        <w:rPr>
          <w:lang w:val="en-US"/>
        </w:rPr>
        <w:t xml:space="preserve">information on the COT structure, LBT type and information to control AUL transmissions </w:t>
      </w:r>
      <w:r w:rsidR="00B655FA" w:rsidRPr="002F5880">
        <w:rPr>
          <w:lang w:val="en-US"/>
        </w:rPr>
        <w:t>would benefit NR-U</w:t>
      </w:r>
      <w:r w:rsidR="008D0F83">
        <w:rPr>
          <w:lang w:val="en-US"/>
        </w:rPr>
        <w:t xml:space="preserve"> as well</w:t>
      </w:r>
      <w:r w:rsidR="003E4DDF" w:rsidRPr="002F5880">
        <w:rPr>
          <w:lang w:val="en-US"/>
        </w:rPr>
        <w:t>.</w:t>
      </w:r>
      <w:r w:rsidR="001D51E9" w:rsidRPr="002F5880">
        <w:rPr>
          <w:lang w:val="en-US"/>
        </w:rPr>
        <w:t xml:space="preserve"> </w:t>
      </w:r>
      <w:r w:rsidR="004F6DD1">
        <w:rPr>
          <w:lang w:val="en-US"/>
        </w:rPr>
        <w:t>I</w:t>
      </w:r>
      <w:r w:rsidR="00E415E6" w:rsidRPr="002F5880">
        <w:rPr>
          <w:lang w:val="en-US"/>
        </w:rPr>
        <w:t xml:space="preserve">t was </w:t>
      </w:r>
      <w:r w:rsidR="00DD19B5" w:rsidRPr="002F5880">
        <w:rPr>
          <w:lang w:val="en-US"/>
        </w:rPr>
        <w:t xml:space="preserve">highlighted </w:t>
      </w:r>
      <w:r w:rsidR="00E415E6" w:rsidRPr="002F5880">
        <w:rPr>
          <w:lang w:val="en-US"/>
        </w:rPr>
        <w:t xml:space="preserve">during the SI phase that DCI 2_0 can be used for COT structure indication </w:t>
      </w:r>
      <w:r w:rsidR="00B715D8" w:rsidRPr="002F5880">
        <w:rPr>
          <w:lang w:val="en-US"/>
        </w:rPr>
        <w:t>[2]</w:t>
      </w:r>
      <w:r w:rsidR="00475F94" w:rsidRPr="002F5880">
        <w:rPr>
          <w:lang w:val="en-US"/>
        </w:rPr>
        <w:t>:</w:t>
      </w:r>
    </w:p>
    <w:p w14:paraId="33F16A36" w14:textId="4413F068" w:rsidR="00E415E6" w:rsidRPr="005E0680" w:rsidRDefault="00475F94" w:rsidP="00957774">
      <w:pPr>
        <w:pStyle w:val="BodyText"/>
        <w:rPr>
          <w:rFonts w:asciiTheme="majorBidi" w:hAnsiTheme="majorBidi" w:cstheme="majorBidi"/>
          <w:i/>
          <w:iCs/>
          <w:lang w:val="en-US"/>
        </w:rPr>
      </w:pPr>
      <w:r w:rsidRPr="002F5880">
        <w:rPr>
          <w:rFonts w:asciiTheme="majorBidi" w:hAnsiTheme="majorBidi" w:cstheme="majorBidi"/>
          <w:i/>
          <w:iCs/>
          <w:lang w:val="en-US"/>
        </w:rPr>
        <w:t>“</w:t>
      </w:r>
      <w:r w:rsidR="00E415E6" w:rsidRPr="002F5880">
        <w:rPr>
          <w:rFonts w:asciiTheme="majorBidi" w:hAnsiTheme="majorBidi" w:cstheme="majorBidi"/>
          <w:i/>
          <w:iCs/>
          <w:lang w:val="en-US"/>
        </w:rPr>
        <w:t>In addition to the functionalities provided by DCI format 2_0 in Rel-15 NR, indication of the COT structure in the time domain has been identified as being beneficial.</w:t>
      </w:r>
      <w:r w:rsidRPr="002F5880">
        <w:rPr>
          <w:rFonts w:asciiTheme="majorBidi" w:hAnsiTheme="majorBidi" w:cstheme="majorBidi"/>
          <w:i/>
          <w:iCs/>
          <w:lang w:val="en-US"/>
        </w:rPr>
        <w:t>”</w:t>
      </w:r>
    </w:p>
    <w:p w14:paraId="64BCA610" w14:textId="77777777" w:rsidR="004F6DD1" w:rsidRDefault="004F6DD1" w:rsidP="00292164">
      <w:pPr>
        <w:pStyle w:val="BodyText"/>
        <w:rPr>
          <w:lang w:val="en-US"/>
        </w:rPr>
      </w:pPr>
      <w:r w:rsidRPr="002F5880">
        <w:rPr>
          <w:lang w:val="en-US"/>
        </w:rPr>
        <w:t>Looking at DCI format 2_0 for group common signaling, we can observe that it can already provide highly flexible dynamic slot formats for combinations of up to 256 slots in NR.</w:t>
      </w:r>
      <w:r>
        <w:rPr>
          <w:lang w:val="en-US"/>
        </w:rPr>
        <w:t xml:space="preserve"> The related RRC parameters can be modified and new ones can be added to use the same DCI format 2_0 for indication of all information necessary for NRU </w:t>
      </w:r>
      <w:r w:rsidRPr="002F5880">
        <w:rPr>
          <w:lang w:val="en-US"/>
        </w:rPr>
        <w:t xml:space="preserve">as explained in more details in the following. </w:t>
      </w:r>
    </w:p>
    <w:p w14:paraId="62442365" w14:textId="6812E1FB" w:rsidR="00350EC8" w:rsidRDefault="0047177B" w:rsidP="00292164">
      <w:pPr>
        <w:pStyle w:val="BodyText"/>
        <w:rPr>
          <w:lang w:val="en-US"/>
        </w:rPr>
      </w:pPr>
      <w:r>
        <w:rPr>
          <w:lang w:val="en-US"/>
        </w:rPr>
        <w:t>In NR Rel-15, DCI format 2_0 is carried by Group Common-PDCCH (GC-PDCCH)</w:t>
      </w:r>
      <w:r w:rsidR="001D0BF5">
        <w:rPr>
          <w:lang w:val="en-US"/>
        </w:rPr>
        <w:t xml:space="preserve"> and it consist of so-called “Slot Format Indicator” or </w:t>
      </w:r>
      <w:r w:rsidR="001915B1">
        <w:rPr>
          <w:lang w:val="en-US"/>
        </w:rPr>
        <w:t>“</w:t>
      </w:r>
      <w:r w:rsidR="001D0BF5">
        <w:rPr>
          <w:lang w:val="en-US"/>
        </w:rPr>
        <w:t>SFI-index</w:t>
      </w:r>
      <w:r w:rsidR="001915B1">
        <w:rPr>
          <w:lang w:val="en-US"/>
        </w:rPr>
        <w:t>”</w:t>
      </w:r>
      <w:r w:rsidR="001D0BF5">
        <w:rPr>
          <w:lang w:val="en-US"/>
        </w:rPr>
        <w:t xml:space="preserve"> for </w:t>
      </w:r>
      <w:r w:rsidR="009B05A2">
        <w:rPr>
          <w:lang w:val="en-US"/>
        </w:rPr>
        <w:t>configured number of serving cells as described in clause 7.3.1.3.1</w:t>
      </w:r>
      <w:r w:rsidR="0046707F">
        <w:rPr>
          <w:lang w:val="en-US"/>
        </w:rPr>
        <w:fldChar w:fldCharType="begin"/>
      </w:r>
      <w:r w:rsidR="0046707F">
        <w:rPr>
          <w:lang w:val="en-US"/>
        </w:rPr>
        <w:instrText xml:space="preserve"> REF _Ref1172541 \w \h </w:instrText>
      </w:r>
      <w:r w:rsidR="0046707F">
        <w:rPr>
          <w:lang w:val="en-US"/>
        </w:rPr>
      </w:r>
      <w:r w:rsidR="0046707F">
        <w:rPr>
          <w:lang w:val="en-US"/>
        </w:rPr>
        <w:fldChar w:fldCharType="separate"/>
      </w:r>
      <w:r w:rsidR="00431AC5">
        <w:rPr>
          <w:lang w:val="en-US"/>
        </w:rPr>
        <w:t>[6]</w:t>
      </w:r>
      <w:r w:rsidR="0046707F">
        <w:rPr>
          <w:lang w:val="en-US"/>
        </w:rPr>
        <w:fldChar w:fldCharType="end"/>
      </w:r>
      <w:r w:rsidR="0004677B">
        <w:rPr>
          <w:lang w:val="en-US"/>
        </w:rPr>
        <w:t xml:space="preserve">. Each </w:t>
      </w:r>
      <w:r w:rsidR="00CC47AB">
        <w:rPr>
          <w:lang w:val="en-US"/>
        </w:rPr>
        <w:t xml:space="preserve">SFI-index </w:t>
      </w:r>
      <w:r w:rsidR="0040334C">
        <w:rPr>
          <w:lang w:val="en-US"/>
        </w:rPr>
        <w:t xml:space="preserve">field DCI 2_0 </w:t>
      </w:r>
      <w:r w:rsidR="003048AE">
        <w:rPr>
          <w:lang w:val="en-US"/>
        </w:rPr>
        <w:t xml:space="preserve">indicates </w:t>
      </w:r>
      <w:r w:rsidR="0047768C">
        <w:rPr>
          <w:lang w:val="en-US"/>
        </w:rPr>
        <w:t xml:space="preserve">a format for each slot for a period of transmission. </w:t>
      </w:r>
    </w:p>
    <w:p w14:paraId="6548EAAF" w14:textId="7D321E51" w:rsidR="00765F19" w:rsidRDefault="001915B1" w:rsidP="00292164">
      <w:pPr>
        <w:pStyle w:val="BodyText"/>
        <w:rPr>
          <w:lang w:val="en-US"/>
        </w:rPr>
      </w:pPr>
      <w:r>
        <w:rPr>
          <w:lang w:val="en-US"/>
        </w:rPr>
        <w:t>Each SFI-index simply</w:t>
      </w:r>
      <w:r w:rsidR="007263FC">
        <w:rPr>
          <w:lang w:val="en-US"/>
        </w:rPr>
        <w:t xml:space="preserve"> </w:t>
      </w:r>
      <w:r w:rsidR="00712AD7">
        <w:rPr>
          <w:lang w:val="en-US"/>
        </w:rPr>
        <w:t>points to</w:t>
      </w:r>
      <w:r w:rsidR="005B0644">
        <w:rPr>
          <w:lang w:val="en-US"/>
        </w:rPr>
        <w:t xml:space="preserve"> a</w:t>
      </w:r>
      <w:r w:rsidR="007263FC">
        <w:rPr>
          <w:lang w:val="en-US"/>
        </w:rPr>
        <w:t xml:space="preserve"> </w:t>
      </w:r>
      <w:r w:rsidR="007263FC" w:rsidRPr="007A2972">
        <w:rPr>
          <w:i/>
          <w:iCs/>
          <w:lang w:val="en-US"/>
        </w:rPr>
        <w:t>slotFormatCombinationID</w:t>
      </w:r>
      <w:r w:rsidR="004061C5">
        <w:rPr>
          <w:lang w:val="en-US"/>
        </w:rPr>
        <w:t xml:space="preserve"> </w:t>
      </w:r>
      <w:r w:rsidR="00BA39F4">
        <w:rPr>
          <w:lang w:val="en-US"/>
        </w:rPr>
        <w:t xml:space="preserve">for a specific serving cell </w:t>
      </w:r>
      <w:r w:rsidR="009966F6">
        <w:rPr>
          <w:lang w:val="en-US"/>
        </w:rPr>
        <w:t xml:space="preserve">indicated by </w:t>
      </w:r>
      <w:r w:rsidR="009966F6" w:rsidRPr="005B0644">
        <w:rPr>
          <w:i/>
          <w:iCs/>
          <w:lang w:val="en-US"/>
        </w:rPr>
        <w:t>ServingCellId</w:t>
      </w:r>
      <w:r w:rsidR="009966F6">
        <w:rPr>
          <w:lang w:val="en-US"/>
        </w:rPr>
        <w:t xml:space="preserve">, </w:t>
      </w:r>
      <w:r w:rsidR="004061C5">
        <w:rPr>
          <w:lang w:val="en-US"/>
        </w:rPr>
        <w:t xml:space="preserve">which </w:t>
      </w:r>
      <w:r w:rsidR="009966F6">
        <w:rPr>
          <w:lang w:val="en-US"/>
        </w:rPr>
        <w:t xml:space="preserve">are </w:t>
      </w:r>
      <w:r w:rsidR="004061C5">
        <w:rPr>
          <w:lang w:val="en-US"/>
        </w:rPr>
        <w:t>part of</w:t>
      </w:r>
      <w:r w:rsidR="006B73AC">
        <w:rPr>
          <w:lang w:val="en-US"/>
        </w:rPr>
        <w:t xml:space="preserve"> a configured RRC parameter</w:t>
      </w:r>
      <w:r w:rsidR="004061C5">
        <w:rPr>
          <w:lang w:val="en-US"/>
        </w:rPr>
        <w:t xml:space="preserve"> </w:t>
      </w:r>
      <w:r w:rsidR="00263CBC">
        <w:rPr>
          <w:lang w:val="en-US"/>
        </w:rPr>
        <w:t xml:space="preserve">called </w:t>
      </w:r>
      <w:r w:rsidR="0029504E" w:rsidRPr="00AC3F7B">
        <w:rPr>
          <w:i/>
          <w:iCs/>
          <w:lang w:val="en-US"/>
        </w:rPr>
        <w:t>slotFormatCombinationsPercell</w:t>
      </w:r>
      <w:r w:rsidR="00986542">
        <w:rPr>
          <w:lang w:val="en-US"/>
        </w:rPr>
        <w:t>.</w:t>
      </w:r>
      <w:r w:rsidR="006E1546">
        <w:rPr>
          <w:lang w:val="en-US"/>
        </w:rPr>
        <w:t xml:space="preserve"> One or more </w:t>
      </w:r>
      <w:r w:rsidR="00513F89">
        <w:rPr>
          <w:lang w:val="en-US"/>
        </w:rPr>
        <w:t xml:space="preserve">serving cells can be configured </w:t>
      </w:r>
      <w:r w:rsidR="004D2085">
        <w:rPr>
          <w:lang w:val="en-US"/>
        </w:rPr>
        <w:t xml:space="preserve">each </w:t>
      </w:r>
      <w:r w:rsidR="00513F89">
        <w:rPr>
          <w:lang w:val="en-US"/>
        </w:rPr>
        <w:t xml:space="preserve">with a </w:t>
      </w:r>
      <w:r w:rsidR="00513F89" w:rsidRPr="002F5880">
        <w:rPr>
          <w:i/>
          <w:iCs/>
          <w:lang w:val="en-US"/>
        </w:rPr>
        <w:t>slotFormatCombinationPerCell</w:t>
      </w:r>
      <w:r w:rsidR="00513F89">
        <w:rPr>
          <w:lang w:val="en-US"/>
        </w:rPr>
        <w:t xml:space="preserve"> </w:t>
      </w:r>
      <w:r w:rsidR="004D2085">
        <w:rPr>
          <w:lang w:val="en-US"/>
        </w:rPr>
        <w:t xml:space="preserve">via </w:t>
      </w:r>
      <w:r w:rsidR="00513F89">
        <w:rPr>
          <w:lang w:val="en-US"/>
        </w:rPr>
        <w:t xml:space="preserve">the RRC parameter </w:t>
      </w:r>
      <w:proofErr w:type="spellStart"/>
      <w:r w:rsidR="00513F89" w:rsidRPr="00C728F2">
        <w:rPr>
          <w:i/>
          <w:iCs/>
          <w:lang w:val="en-US"/>
        </w:rPr>
        <w:t>slotFormatIndicator</w:t>
      </w:r>
      <w:proofErr w:type="spellEnd"/>
      <w:r w:rsidR="00513F89" w:rsidRPr="00C728F2">
        <w:rPr>
          <w:lang w:val="en-US"/>
        </w:rPr>
        <w:t xml:space="preserve"> </w:t>
      </w:r>
      <w:r w:rsidR="004E1ED1">
        <w:rPr>
          <w:lang w:val="en-US"/>
        </w:rPr>
        <w:fldChar w:fldCharType="begin"/>
      </w:r>
      <w:r w:rsidR="004E1ED1">
        <w:rPr>
          <w:lang w:val="en-US"/>
        </w:rPr>
        <w:instrText xml:space="preserve"> REF _Ref16866852 \w \h </w:instrText>
      </w:r>
      <w:r w:rsidR="004E1ED1">
        <w:rPr>
          <w:lang w:val="en-US"/>
        </w:rPr>
      </w:r>
      <w:r w:rsidR="004E1ED1">
        <w:rPr>
          <w:lang w:val="en-US"/>
        </w:rPr>
        <w:fldChar w:fldCharType="separate"/>
      </w:r>
      <w:r w:rsidR="00431AC5">
        <w:rPr>
          <w:lang w:val="en-US"/>
        </w:rPr>
        <w:t>[14]</w:t>
      </w:r>
      <w:r w:rsidR="004E1ED1">
        <w:rPr>
          <w:lang w:val="en-US"/>
        </w:rPr>
        <w:fldChar w:fldCharType="end"/>
      </w:r>
      <w:r w:rsidR="00513F89" w:rsidRPr="00C728F2">
        <w:rPr>
          <w:lang w:val="en-US"/>
        </w:rPr>
        <w:t xml:space="preserve"> (</w:t>
      </w:r>
      <w:r w:rsidR="004E1ED1">
        <w:rPr>
          <w:lang w:val="en-US"/>
        </w:rPr>
        <w:t xml:space="preserve">see </w:t>
      </w:r>
      <w:r w:rsidR="004E1ED1">
        <w:rPr>
          <w:lang w:val="en-US"/>
        </w:rPr>
        <w:fldChar w:fldCharType="begin"/>
      </w:r>
      <w:r w:rsidR="004E1ED1">
        <w:rPr>
          <w:lang w:val="en-US"/>
        </w:rPr>
        <w:instrText xml:space="preserve"> REF _Ref16867029 \h </w:instrText>
      </w:r>
      <w:r w:rsidR="004E1ED1">
        <w:rPr>
          <w:lang w:val="en-US"/>
        </w:rPr>
      </w:r>
      <w:r w:rsidR="004E1ED1">
        <w:rPr>
          <w:lang w:val="en-US"/>
        </w:rPr>
        <w:fldChar w:fldCharType="separate"/>
      </w:r>
      <w:r w:rsidR="00431AC5">
        <w:rPr>
          <w:lang w:val="en-US"/>
        </w:rPr>
        <w:t>Appendix II</w:t>
      </w:r>
      <w:r w:rsidR="004E1ED1">
        <w:rPr>
          <w:lang w:val="en-US"/>
        </w:rPr>
        <w:fldChar w:fldCharType="end"/>
      </w:r>
      <w:r w:rsidR="00513F89" w:rsidRPr="00C728F2">
        <w:rPr>
          <w:lang w:val="en-US"/>
        </w:rPr>
        <w:t>)</w:t>
      </w:r>
      <w:r w:rsidR="00513F89">
        <w:rPr>
          <w:lang w:val="en-US"/>
        </w:rPr>
        <w:t xml:space="preserve">. </w:t>
      </w:r>
    </w:p>
    <w:p w14:paraId="3B314557" w14:textId="5053F8E8" w:rsidR="0016107E" w:rsidRDefault="00263CBC" w:rsidP="00785AAC">
      <w:pPr>
        <w:pStyle w:val="BodyText"/>
        <w:rPr>
          <w:lang w:val="en-US"/>
        </w:rPr>
      </w:pPr>
      <w:r w:rsidRPr="00263CBC">
        <w:rPr>
          <w:lang w:val="en-US"/>
        </w:rPr>
        <w:t xml:space="preserve">Each </w:t>
      </w:r>
      <w:r w:rsidRPr="00667DD6">
        <w:rPr>
          <w:i/>
          <w:iCs/>
          <w:lang w:val="en-US"/>
        </w:rPr>
        <w:t>slotFormatCombinationID</w:t>
      </w:r>
      <w:r w:rsidRPr="00263CBC">
        <w:rPr>
          <w:lang w:val="en-US"/>
        </w:rPr>
        <w:t xml:space="preserve"> provides a mapping to a set of slot formats called </w:t>
      </w:r>
      <w:r w:rsidRPr="00601892">
        <w:rPr>
          <w:i/>
          <w:iCs/>
          <w:lang w:val="en-US"/>
        </w:rPr>
        <w:t>slotFormatCombination</w:t>
      </w:r>
      <w:r w:rsidRPr="00263CBC">
        <w:rPr>
          <w:lang w:val="en-US"/>
        </w:rPr>
        <w:t xml:space="preserve">, which is </w:t>
      </w:r>
      <w:r w:rsidR="009A3CF6">
        <w:rPr>
          <w:lang w:val="en-US"/>
        </w:rPr>
        <w:t xml:space="preserve">essentially </w:t>
      </w:r>
      <w:r w:rsidRPr="00263CBC">
        <w:rPr>
          <w:lang w:val="en-US"/>
        </w:rPr>
        <w:t xml:space="preserve">the </w:t>
      </w:r>
      <w:r w:rsidR="009A3CF6">
        <w:rPr>
          <w:lang w:val="en-US"/>
        </w:rPr>
        <w:t xml:space="preserve">indication of </w:t>
      </w:r>
      <w:r w:rsidRPr="00263CBC">
        <w:rPr>
          <w:lang w:val="en-US"/>
        </w:rPr>
        <w:t>TDD pattern</w:t>
      </w:r>
      <w:r>
        <w:rPr>
          <w:lang w:val="en-US"/>
        </w:rPr>
        <w:t xml:space="preserve"> </w:t>
      </w:r>
      <w:r w:rsidR="009A3CF6">
        <w:rPr>
          <w:lang w:val="en-US"/>
        </w:rPr>
        <w:t xml:space="preserve">that is expected </w:t>
      </w:r>
      <w:r>
        <w:rPr>
          <w:lang w:val="en-US"/>
        </w:rPr>
        <w:t>by the UE</w:t>
      </w:r>
      <w:r w:rsidRPr="00263CBC">
        <w:rPr>
          <w:lang w:val="en-US"/>
        </w:rPr>
        <w:t xml:space="preserve"> for current and potentially future slots.</w:t>
      </w:r>
      <w:r w:rsidR="00692925">
        <w:rPr>
          <w:lang w:val="en-US"/>
        </w:rPr>
        <w:t xml:space="preserve"> </w:t>
      </w:r>
      <w:r w:rsidR="00D23C09">
        <w:rPr>
          <w:lang w:val="en-US"/>
        </w:rPr>
        <w:fldChar w:fldCharType="begin"/>
      </w:r>
      <w:r w:rsidR="00D23C09">
        <w:rPr>
          <w:lang w:val="en-US"/>
        </w:rPr>
        <w:instrText xml:space="preserve"> REF _Ref16868177 \h </w:instrText>
      </w:r>
      <w:r w:rsidR="00D23C09">
        <w:rPr>
          <w:lang w:val="en-US"/>
        </w:rPr>
      </w:r>
      <w:r w:rsidR="00D23C09">
        <w:rPr>
          <w:lang w:val="en-US"/>
        </w:rPr>
        <w:fldChar w:fldCharType="separate"/>
      </w:r>
      <w:r w:rsidR="00431AC5">
        <w:t xml:space="preserve">Table </w:t>
      </w:r>
      <w:r w:rsidR="00431AC5">
        <w:rPr>
          <w:noProof/>
        </w:rPr>
        <w:t>3</w:t>
      </w:r>
      <w:r w:rsidR="00D23C09">
        <w:rPr>
          <w:lang w:val="en-US"/>
        </w:rPr>
        <w:fldChar w:fldCharType="end"/>
      </w:r>
      <w:r w:rsidR="0058781D">
        <w:rPr>
          <w:lang w:val="en-US"/>
        </w:rPr>
        <w:t xml:space="preserve"> shows </w:t>
      </w:r>
      <w:r w:rsidR="00C15B1C">
        <w:rPr>
          <w:lang w:val="en-US"/>
        </w:rPr>
        <w:t xml:space="preserve">the mapping </w:t>
      </w:r>
      <w:r w:rsidR="0053565C">
        <w:rPr>
          <w:lang w:val="en-US"/>
        </w:rPr>
        <w:t xml:space="preserve">between each </w:t>
      </w:r>
      <w:proofErr w:type="spellStart"/>
      <w:r w:rsidR="000E50CA" w:rsidRPr="007A2972">
        <w:rPr>
          <w:i/>
          <w:iCs/>
          <w:lang w:val="en-US"/>
        </w:rPr>
        <w:t>slotFormatCombinationID</w:t>
      </w:r>
      <w:proofErr w:type="spellEnd"/>
      <w:r w:rsidR="000E50CA">
        <w:rPr>
          <w:lang w:val="en-US"/>
        </w:rPr>
        <w:t xml:space="preserve"> </w:t>
      </w:r>
      <w:r w:rsidR="0053565C">
        <w:rPr>
          <w:lang w:val="en-US"/>
        </w:rPr>
        <w:t>and</w:t>
      </w:r>
      <w:r w:rsidR="00B455E3">
        <w:rPr>
          <w:lang w:val="en-US"/>
        </w:rPr>
        <w:t xml:space="preserve"> a set of slot formats.</w:t>
      </w:r>
      <w:r w:rsidR="009A0D8C">
        <w:rPr>
          <w:lang w:val="en-US"/>
        </w:rPr>
        <w:t xml:space="preserve"> </w:t>
      </w:r>
    </w:p>
    <w:p w14:paraId="628E9E4F" w14:textId="66DEFDB8" w:rsidR="002C651E" w:rsidRDefault="00F80773" w:rsidP="00785AAC">
      <w:pPr>
        <w:pStyle w:val="BodyText"/>
        <w:rPr>
          <w:lang w:val="en-US"/>
        </w:rPr>
      </w:pPr>
      <w:r>
        <w:rPr>
          <w:lang w:val="en-US"/>
        </w:rPr>
        <w:t>Each</w:t>
      </w:r>
      <w:r w:rsidR="002C651E">
        <w:rPr>
          <w:lang w:val="en-US"/>
        </w:rPr>
        <w:t xml:space="preserve"> serving ce</w:t>
      </w:r>
      <w:r w:rsidR="00706277">
        <w:rPr>
          <w:lang w:val="en-US"/>
        </w:rPr>
        <w:t>ll</w:t>
      </w:r>
      <w:r>
        <w:rPr>
          <w:lang w:val="en-US"/>
        </w:rPr>
        <w:t xml:space="preserve"> is configured with a parameter called</w:t>
      </w:r>
      <w:r w:rsidR="00706277">
        <w:rPr>
          <w:lang w:val="en-US"/>
        </w:rPr>
        <w:t xml:space="preserve"> </w:t>
      </w:r>
      <w:r w:rsidR="00706277" w:rsidRPr="00601892">
        <w:rPr>
          <w:i/>
          <w:iCs/>
          <w:lang w:val="en-US"/>
        </w:rPr>
        <w:t>positionInDCI</w:t>
      </w:r>
      <w:r>
        <w:rPr>
          <w:lang w:val="en-US"/>
        </w:rPr>
        <w:t xml:space="preserve">, which indicates </w:t>
      </w:r>
      <w:r w:rsidR="004962FF">
        <w:rPr>
          <w:lang w:val="en-US"/>
        </w:rPr>
        <w:t>where UE can find the SFI index field for that specific cell</w:t>
      </w:r>
      <w:r w:rsidR="008316CA">
        <w:rPr>
          <w:lang w:val="en-US"/>
        </w:rPr>
        <w:t xml:space="preserve">. This pattern </w:t>
      </w:r>
      <w:r w:rsidR="00F069C7">
        <w:rPr>
          <w:lang w:val="en-US"/>
        </w:rPr>
        <w:t xml:space="preserve">provides enough flexibility to address large number of cells </w:t>
      </w:r>
      <w:r w:rsidR="00CF44E2">
        <w:rPr>
          <w:lang w:val="en-US"/>
        </w:rPr>
        <w:t xml:space="preserve">with slot format indication. </w:t>
      </w:r>
    </w:p>
    <w:p w14:paraId="384A23A6" w14:textId="730935E4" w:rsidR="00785AAC" w:rsidRDefault="00C57F8C" w:rsidP="00C57F8C">
      <w:pPr>
        <w:pStyle w:val="Caption"/>
        <w:rPr>
          <w:lang w:val="en-US"/>
        </w:rPr>
      </w:pPr>
      <w:bookmarkStart w:id="39" w:name="_Ref16868177"/>
      <w:r>
        <w:t xml:space="preserve">Table </w:t>
      </w:r>
      <w:fldSimple w:instr=" SEQ Table \* ARABIC ">
        <w:r w:rsidR="00431AC5">
          <w:rPr>
            <w:noProof/>
          </w:rPr>
          <w:t>3</w:t>
        </w:r>
      </w:fldSimple>
      <w:bookmarkEnd w:id="39"/>
      <w:r>
        <w:t xml:space="preserve"> </w:t>
      </w:r>
      <w:r w:rsidR="00785AAC" w:rsidRPr="008D0852">
        <w:rPr>
          <w:lang w:val="en-US"/>
        </w:rPr>
        <w:t xml:space="preserve">Table </w:t>
      </w:r>
      <w:r w:rsidR="00400F0F">
        <w:rPr>
          <w:lang w:val="en-US"/>
        </w:rPr>
        <w:t>3</w:t>
      </w:r>
      <w:r w:rsidR="00785AAC" w:rsidRPr="008D0852">
        <w:rPr>
          <w:lang w:val="en-US"/>
        </w:rPr>
        <w:t>: RRC configuration of slot format combination table (maximal configuration). Each entry in the table is an SFI pointing to a row in Table 11.1.1-1. The maximum number of combinations is 512, and the maximum number of slots for a given combination is 256.</w:t>
      </w:r>
    </w:p>
    <w:p w14:paraId="2BBD5AF1" w14:textId="77777777" w:rsidR="00292164" w:rsidRDefault="00292164" w:rsidP="00785AAC">
      <w:pPr>
        <w:pStyle w:val="BodyText"/>
        <w:rPr>
          <w:lang w:val="en-US"/>
        </w:rPr>
      </w:pPr>
    </w:p>
    <w:tbl>
      <w:tblPr>
        <w:tblW w:w="8389" w:type="dxa"/>
        <w:jc w:val="center"/>
        <w:tblCellMar>
          <w:left w:w="0" w:type="dxa"/>
          <w:right w:w="0" w:type="dxa"/>
        </w:tblCellMar>
        <w:tblLook w:val="0420" w:firstRow="1" w:lastRow="0" w:firstColumn="0" w:lastColumn="0" w:noHBand="0" w:noVBand="1"/>
      </w:tblPr>
      <w:tblGrid>
        <w:gridCol w:w="1990"/>
        <w:gridCol w:w="1547"/>
        <w:gridCol w:w="1606"/>
        <w:gridCol w:w="1640"/>
        <w:gridCol w:w="1606"/>
      </w:tblGrid>
      <w:tr w:rsidR="00785AAC" w:rsidRPr="002951EE" w14:paraId="1E88CF68" w14:textId="77777777" w:rsidTr="009D5A1A">
        <w:trPr>
          <w:trHeight w:val="131"/>
          <w:jc w:val="center"/>
        </w:trPr>
        <w:tc>
          <w:tcPr>
            <w:tcW w:w="1990" w:type="dxa"/>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0F466037"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b/>
                <w:bCs/>
                <w:color w:val="FFFFFF"/>
                <w:kern w:val="24"/>
                <w:lang w:val="sv-SE" w:eastAsia="sv-SE"/>
              </w:rPr>
              <w:t>Slot Format Combinations ID</w:t>
            </w:r>
          </w:p>
        </w:tc>
        <w:tc>
          <w:tcPr>
            <w:tcW w:w="1547" w:type="dxa"/>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19E5C758"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b/>
                <w:bCs/>
                <w:color w:val="FFFFFF"/>
                <w:kern w:val="24"/>
                <w:lang w:val="sv-SE" w:eastAsia="sv-SE"/>
              </w:rPr>
              <w:t>Slot</w:t>
            </w:r>
            <w:r w:rsidRPr="002951EE">
              <w:rPr>
                <w:rFonts w:ascii="Ericsson Hilda" w:hAnsi="Ericsson Hilda" w:cs="Arial"/>
                <w:b/>
                <w:bCs/>
                <w:color w:val="FFFFFF"/>
                <w:kern w:val="24"/>
                <w:lang w:val="en-US" w:eastAsia="sv-SE"/>
              </w:rPr>
              <w:t>-0</w:t>
            </w:r>
          </w:p>
        </w:tc>
        <w:tc>
          <w:tcPr>
            <w:tcW w:w="1606" w:type="dxa"/>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1F1D38A3"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b/>
                <w:bCs/>
                <w:color w:val="FFFFFF"/>
                <w:kern w:val="24"/>
                <w:lang w:val="en-US" w:eastAsia="sv-SE"/>
              </w:rPr>
              <w:t>Slot-1</w:t>
            </w:r>
          </w:p>
        </w:tc>
        <w:tc>
          <w:tcPr>
            <w:tcW w:w="1640" w:type="dxa"/>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3F128B7F"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m:oMathPara>
              <m:oMathParaPr>
                <m:jc m:val="centerGroup"/>
              </m:oMathParaPr>
              <m:oMath>
                <m:r>
                  <m:rPr>
                    <m:sty m:val="bi"/>
                  </m:rPr>
                  <w:rPr>
                    <w:rFonts w:ascii="Cambria Math" w:hAnsi="Cambria Math" w:cs="Arial"/>
                    <w:color w:val="FFFFFF"/>
                    <w:kern w:val="24"/>
                    <w:lang w:val="sv-SE" w:eastAsia="sv-SE"/>
                  </w:rPr>
                  <m:t>⋯</m:t>
                </m:r>
              </m:oMath>
            </m:oMathPara>
          </w:p>
        </w:tc>
        <w:tc>
          <w:tcPr>
            <w:tcW w:w="1606" w:type="dxa"/>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457E6F83"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b/>
                <w:bCs/>
                <w:color w:val="FFFFFF"/>
                <w:kern w:val="24"/>
                <w:lang w:val="en-US" w:eastAsia="sv-SE"/>
              </w:rPr>
              <w:t>Slot0255</w:t>
            </w:r>
          </w:p>
        </w:tc>
      </w:tr>
      <w:tr w:rsidR="00785AAC" w:rsidRPr="002951EE" w14:paraId="15536148" w14:textId="77777777" w:rsidTr="009D5A1A">
        <w:trPr>
          <w:trHeight w:val="131"/>
          <w:jc w:val="center"/>
        </w:trPr>
        <w:tc>
          <w:tcPr>
            <w:tcW w:w="1990"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018981F5"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en-US" w:eastAsia="sv-SE"/>
              </w:rPr>
              <w:t>0</w:t>
            </w:r>
          </w:p>
        </w:tc>
        <w:tc>
          <w:tcPr>
            <w:tcW w:w="1547"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134B37D3"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sv-SE" w:eastAsia="sv-SE"/>
              </w:rPr>
              <w:t>SFI</w:t>
            </w:r>
            <w:r w:rsidRPr="002951EE">
              <w:rPr>
                <w:rFonts w:ascii="Ericsson Hilda" w:hAnsi="Ericsson Hilda" w:cs="Arial"/>
                <w:color w:val="000000"/>
                <w:kern w:val="24"/>
                <w:position w:val="-9"/>
                <w:vertAlign w:val="subscript"/>
                <w:lang w:val="sv-SE" w:eastAsia="sv-SE"/>
              </w:rPr>
              <w:t>0,0</w:t>
            </w:r>
          </w:p>
        </w:tc>
        <w:tc>
          <w:tcPr>
            <w:tcW w:w="1606"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47A94663"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sv-SE" w:eastAsia="sv-SE"/>
              </w:rPr>
              <w:t>SFI</w:t>
            </w:r>
            <w:r w:rsidRPr="002951EE">
              <w:rPr>
                <w:rFonts w:ascii="Ericsson Hilda" w:hAnsi="Ericsson Hilda" w:cs="Arial"/>
                <w:color w:val="000000"/>
                <w:kern w:val="24"/>
                <w:position w:val="-9"/>
                <w:vertAlign w:val="subscript"/>
                <w:lang w:val="sv-SE" w:eastAsia="sv-SE"/>
              </w:rPr>
              <w:t>0,1</w:t>
            </w:r>
          </w:p>
        </w:tc>
        <w:tc>
          <w:tcPr>
            <w:tcW w:w="1640"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43FE13CD"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m:oMathPara>
              <m:oMathParaPr>
                <m:jc m:val="centerGroup"/>
              </m:oMathParaPr>
              <m:oMath>
                <m:r>
                  <w:rPr>
                    <w:rFonts w:ascii="Cambria Math" w:hAnsi="Cambria Math" w:cs="Arial"/>
                    <w:color w:val="000000"/>
                    <w:kern w:val="24"/>
                    <w:lang w:val="sv-SE" w:eastAsia="sv-SE"/>
                  </w:rPr>
                  <m:t>⋯</m:t>
                </m:r>
              </m:oMath>
            </m:oMathPara>
          </w:p>
        </w:tc>
        <w:tc>
          <w:tcPr>
            <w:tcW w:w="1606"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054A7ABD"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sv-SE" w:eastAsia="sv-SE"/>
              </w:rPr>
              <w:t>SFI</w:t>
            </w:r>
            <w:r w:rsidRPr="002951EE">
              <w:rPr>
                <w:rFonts w:ascii="Ericsson Hilda" w:hAnsi="Ericsson Hilda" w:cs="Arial"/>
                <w:color w:val="000000"/>
                <w:kern w:val="24"/>
                <w:position w:val="-9"/>
                <w:vertAlign w:val="subscript"/>
                <w:lang w:val="sv-SE" w:eastAsia="sv-SE"/>
              </w:rPr>
              <w:t>0,255</w:t>
            </w:r>
          </w:p>
        </w:tc>
      </w:tr>
      <w:tr w:rsidR="00785AAC" w:rsidRPr="002951EE" w14:paraId="4EA5A682" w14:textId="77777777" w:rsidTr="009D5A1A">
        <w:trPr>
          <w:trHeight w:val="131"/>
          <w:jc w:val="center"/>
        </w:trPr>
        <w:tc>
          <w:tcPr>
            <w:tcW w:w="1990"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3AC7B89C"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en-US" w:eastAsia="sv-SE"/>
              </w:rPr>
              <w:t>1</w:t>
            </w:r>
          </w:p>
        </w:tc>
        <w:tc>
          <w:tcPr>
            <w:tcW w:w="1547"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1B020E05"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sv-SE" w:eastAsia="sv-SE"/>
              </w:rPr>
              <w:t>SFI</w:t>
            </w:r>
            <w:r w:rsidRPr="002951EE">
              <w:rPr>
                <w:rFonts w:ascii="Ericsson Hilda" w:hAnsi="Ericsson Hilda" w:cs="Arial"/>
                <w:color w:val="000000"/>
                <w:kern w:val="24"/>
                <w:position w:val="-9"/>
                <w:vertAlign w:val="subscript"/>
                <w:lang w:val="sv-SE" w:eastAsia="sv-SE"/>
              </w:rPr>
              <w:t>1,0</w:t>
            </w:r>
          </w:p>
        </w:tc>
        <w:tc>
          <w:tcPr>
            <w:tcW w:w="1606"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38E08506"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sv-SE" w:eastAsia="sv-SE"/>
              </w:rPr>
              <w:t>SFI</w:t>
            </w:r>
            <w:r w:rsidRPr="002951EE">
              <w:rPr>
                <w:rFonts w:ascii="Ericsson Hilda" w:hAnsi="Ericsson Hilda" w:cs="Arial"/>
                <w:color w:val="000000"/>
                <w:kern w:val="24"/>
                <w:position w:val="-9"/>
                <w:vertAlign w:val="subscript"/>
                <w:lang w:val="sv-SE" w:eastAsia="sv-SE"/>
              </w:rPr>
              <w:t>1,1</w:t>
            </w:r>
          </w:p>
        </w:tc>
        <w:tc>
          <w:tcPr>
            <w:tcW w:w="1640"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185BFB4B"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m:oMathPara>
              <m:oMathParaPr>
                <m:jc m:val="centerGroup"/>
              </m:oMathParaPr>
              <m:oMath>
                <m:r>
                  <w:rPr>
                    <w:rFonts w:ascii="Cambria Math" w:hAnsi="Cambria Math" w:cs="Arial"/>
                    <w:color w:val="000000"/>
                    <w:kern w:val="24"/>
                    <w:lang w:val="sv-SE" w:eastAsia="sv-SE"/>
                  </w:rPr>
                  <m:t>⋯</m:t>
                </m:r>
              </m:oMath>
            </m:oMathPara>
          </w:p>
        </w:tc>
        <w:tc>
          <w:tcPr>
            <w:tcW w:w="1606"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1BC423FF" w14:textId="69914168" w:rsidR="00785AAC" w:rsidRPr="002951EE" w:rsidRDefault="00ED2A85" w:rsidP="00356C52">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sv-SE" w:eastAsia="sv-SE"/>
              </w:rPr>
              <w:t>SFI</w:t>
            </w:r>
            <w:r>
              <w:rPr>
                <w:rFonts w:ascii="Ericsson Hilda" w:hAnsi="Ericsson Hilda" w:cs="Arial"/>
                <w:color w:val="000000"/>
                <w:kern w:val="24"/>
                <w:position w:val="-9"/>
                <w:vertAlign w:val="subscript"/>
                <w:lang w:val="sv-SE" w:eastAsia="sv-SE"/>
              </w:rPr>
              <w:t>1,</w:t>
            </w:r>
            <w:r w:rsidRPr="002951EE">
              <w:rPr>
                <w:rFonts w:ascii="Ericsson Hilda" w:hAnsi="Ericsson Hilda" w:cs="Arial"/>
                <w:color w:val="000000"/>
                <w:kern w:val="24"/>
                <w:position w:val="-9"/>
                <w:vertAlign w:val="subscript"/>
                <w:lang w:val="sv-SE" w:eastAsia="sv-SE"/>
              </w:rPr>
              <w:t>255</w:t>
            </w:r>
          </w:p>
        </w:tc>
      </w:tr>
      <w:tr w:rsidR="00785AAC" w:rsidRPr="002951EE" w14:paraId="5ACE5F32" w14:textId="77777777" w:rsidTr="009D5A1A">
        <w:trPr>
          <w:trHeight w:val="131"/>
          <w:jc w:val="center"/>
        </w:trPr>
        <w:tc>
          <w:tcPr>
            <w:tcW w:w="1990" w:type="dxa"/>
            <w:tcBorders>
              <w:top w:val="single" w:sz="8"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43F19DE5"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m:oMathPara>
              <m:oMathParaPr>
                <m:jc m:val="centerGroup"/>
              </m:oMathParaPr>
              <m:oMath>
                <m:r>
                  <w:rPr>
                    <w:rFonts w:ascii="Cambria Math" w:hAnsi="Cambria Math" w:cs="Arial"/>
                    <w:color w:val="000000"/>
                    <w:kern w:val="24"/>
                    <w:lang w:val="sv-SE" w:eastAsia="sv-SE"/>
                  </w:rPr>
                  <m:t>⋮</m:t>
                </m:r>
              </m:oMath>
            </m:oMathPara>
          </w:p>
        </w:tc>
        <w:tc>
          <w:tcPr>
            <w:tcW w:w="1547" w:type="dxa"/>
            <w:tcBorders>
              <w:top w:val="single" w:sz="8"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27433DC6"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m:oMathPara>
              <m:oMathParaPr>
                <m:jc m:val="centerGroup"/>
              </m:oMathParaPr>
              <m:oMath>
                <m:r>
                  <w:rPr>
                    <w:rFonts w:ascii="Cambria Math" w:hAnsi="Cambria Math" w:cs="Arial"/>
                    <w:color w:val="000000"/>
                    <w:kern w:val="24"/>
                    <w:lang w:val="sv-SE" w:eastAsia="sv-SE"/>
                  </w:rPr>
                  <m:t>⋮</m:t>
                </m:r>
              </m:oMath>
            </m:oMathPara>
          </w:p>
        </w:tc>
        <w:tc>
          <w:tcPr>
            <w:tcW w:w="1606" w:type="dxa"/>
            <w:tcBorders>
              <w:top w:val="single" w:sz="8"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59A597C4"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m:oMathPara>
              <m:oMathParaPr>
                <m:jc m:val="centerGroup"/>
              </m:oMathParaPr>
              <m:oMath>
                <m:r>
                  <w:rPr>
                    <w:rFonts w:ascii="Cambria Math" w:hAnsi="Cambria Math" w:cs="Arial"/>
                    <w:color w:val="000000"/>
                    <w:kern w:val="24"/>
                    <w:lang w:val="sv-SE" w:eastAsia="sv-SE"/>
                  </w:rPr>
                  <m:t>⋮</m:t>
                </m:r>
              </m:oMath>
            </m:oMathPara>
          </w:p>
        </w:tc>
        <w:tc>
          <w:tcPr>
            <w:tcW w:w="1640" w:type="dxa"/>
            <w:tcBorders>
              <w:top w:val="single" w:sz="8"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40BC14F1"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m:oMathPara>
              <m:oMathParaPr>
                <m:jc m:val="centerGroup"/>
              </m:oMathParaPr>
              <m:oMath>
                <m:r>
                  <w:rPr>
                    <w:rFonts w:ascii="Cambria Math" w:hAnsi="Cambria Math" w:cs="Arial"/>
                    <w:color w:val="000000"/>
                    <w:kern w:val="24"/>
                    <w:lang w:val="sv-SE" w:eastAsia="sv-SE"/>
                  </w:rPr>
                  <m:t>⋱</m:t>
                </m:r>
              </m:oMath>
            </m:oMathPara>
          </w:p>
        </w:tc>
        <w:tc>
          <w:tcPr>
            <w:tcW w:w="1606" w:type="dxa"/>
            <w:tcBorders>
              <w:top w:val="single" w:sz="8"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0A7C3A1F"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m:oMathPara>
              <m:oMathParaPr>
                <m:jc m:val="centerGroup"/>
              </m:oMathParaPr>
              <m:oMath>
                <m:r>
                  <w:rPr>
                    <w:rFonts w:ascii="Cambria Math" w:hAnsi="Cambria Math" w:cs="Arial"/>
                    <w:color w:val="000000"/>
                    <w:kern w:val="24"/>
                    <w:lang w:val="sv-SE" w:eastAsia="sv-SE"/>
                  </w:rPr>
                  <m:t>⋮</m:t>
                </m:r>
              </m:oMath>
            </m:oMathPara>
          </w:p>
        </w:tc>
      </w:tr>
      <w:tr w:rsidR="00785AAC" w:rsidRPr="002951EE" w14:paraId="466A6CEB" w14:textId="77777777" w:rsidTr="009D5A1A">
        <w:trPr>
          <w:trHeight w:val="131"/>
          <w:jc w:val="center"/>
        </w:trPr>
        <w:tc>
          <w:tcPr>
            <w:tcW w:w="1990"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3A26FA40"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en-US" w:eastAsia="sv-SE"/>
              </w:rPr>
              <w:t>511</w:t>
            </w:r>
          </w:p>
        </w:tc>
        <w:tc>
          <w:tcPr>
            <w:tcW w:w="1547"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045B311C"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sv-SE" w:eastAsia="sv-SE"/>
              </w:rPr>
              <w:t>SFI</w:t>
            </w:r>
            <w:r w:rsidRPr="002951EE">
              <w:rPr>
                <w:rFonts w:ascii="Ericsson Hilda" w:hAnsi="Ericsson Hilda" w:cs="Arial"/>
                <w:color w:val="000000"/>
                <w:kern w:val="24"/>
                <w:position w:val="-9"/>
                <w:vertAlign w:val="subscript"/>
                <w:lang w:val="sv-SE" w:eastAsia="sv-SE"/>
              </w:rPr>
              <w:t>511,0</w:t>
            </w:r>
          </w:p>
        </w:tc>
        <w:tc>
          <w:tcPr>
            <w:tcW w:w="1606"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3977BA11"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sv-SE" w:eastAsia="sv-SE"/>
              </w:rPr>
              <w:t>SFI</w:t>
            </w:r>
            <w:r w:rsidRPr="002951EE">
              <w:rPr>
                <w:rFonts w:ascii="Ericsson Hilda" w:hAnsi="Ericsson Hilda" w:cs="Arial"/>
                <w:color w:val="000000"/>
                <w:kern w:val="24"/>
                <w:position w:val="-9"/>
                <w:vertAlign w:val="subscript"/>
                <w:lang w:val="sv-SE" w:eastAsia="sv-SE"/>
              </w:rPr>
              <w:t>511,1</w:t>
            </w:r>
          </w:p>
        </w:tc>
        <w:tc>
          <w:tcPr>
            <w:tcW w:w="1640"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4129EF2C"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m:oMathPara>
              <m:oMathParaPr>
                <m:jc m:val="centerGroup"/>
              </m:oMathParaPr>
              <m:oMath>
                <m:r>
                  <w:rPr>
                    <w:rFonts w:ascii="Cambria Math" w:hAnsi="Cambria Math" w:cs="Arial"/>
                    <w:color w:val="000000"/>
                    <w:kern w:val="24"/>
                    <w:lang w:val="sv-SE" w:eastAsia="sv-SE"/>
                  </w:rPr>
                  <m:t>⋯</m:t>
                </m:r>
              </m:oMath>
            </m:oMathPara>
          </w:p>
        </w:tc>
        <w:tc>
          <w:tcPr>
            <w:tcW w:w="1606"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00C95264" w14:textId="77777777" w:rsidR="00785AAC" w:rsidRPr="002951EE" w:rsidRDefault="00785AAC" w:rsidP="009D5A1A">
            <w:pPr>
              <w:overflowPunct/>
              <w:autoSpaceDE/>
              <w:autoSpaceDN/>
              <w:adjustRightInd/>
              <w:spacing w:after="0"/>
              <w:jc w:val="center"/>
              <w:textAlignment w:val="auto"/>
              <w:rPr>
                <w:rFonts w:ascii="Arial" w:hAnsi="Arial" w:cs="Arial"/>
                <w:lang w:val="sv-SE" w:eastAsia="sv-SE"/>
              </w:rPr>
            </w:pPr>
            <w:r w:rsidRPr="002951EE">
              <w:rPr>
                <w:rFonts w:ascii="Ericsson Hilda" w:hAnsi="Ericsson Hilda" w:cs="Arial"/>
                <w:color w:val="000000"/>
                <w:kern w:val="24"/>
                <w:lang w:val="sv-SE" w:eastAsia="sv-SE"/>
              </w:rPr>
              <w:t>SFI</w:t>
            </w:r>
            <w:r w:rsidRPr="002951EE">
              <w:rPr>
                <w:rFonts w:ascii="Ericsson Hilda" w:hAnsi="Ericsson Hilda" w:cs="Arial"/>
                <w:color w:val="000000"/>
                <w:kern w:val="24"/>
                <w:position w:val="-9"/>
                <w:vertAlign w:val="subscript"/>
                <w:lang w:val="sv-SE" w:eastAsia="sv-SE"/>
              </w:rPr>
              <w:t>511,255</w:t>
            </w:r>
          </w:p>
        </w:tc>
      </w:tr>
    </w:tbl>
    <w:p w14:paraId="416044A0" w14:textId="77777777" w:rsidR="00DA1A8C" w:rsidRDefault="00DA1A8C" w:rsidP="00DA1A8C">
      <w:pPr>
        <w:pStyle w:val="BodyText"/>
        <w:rPr>
          <w:lang w:val="en-US"/>
        </w:rPr>
      </w:pPr>
    </w:p>
    <w:p w14:paraId="7BE13BC0" w14:textId="2673CC75" w:rsidR="00785AAC" w:rsidRDefault="00DA1A8C" w:rsidP="00601892">
      <w:pPr>
        <w:pStyle w:val="BodyText"/>
        <w:rPr>
          <w:lang w:val="en-US"/>
        </w:rPr>
      </w:pPr>
      <w:r w:rsidRPr="00D121F6">
        <w:rPr>
          <w:lang w:val="en-US"/>
        </w:rPr>
        <w:t>Note that table</w:t>
      </w:r>
      <w:r>
        <w:rPr>
          <w:lang w:val="en-US"/>
        </w:rPr>
        <w:t xml:space="preserve"> 1</w:t>
      </w:r>
      <w:r w:rsidRPr="00D121F6">
        <w:rPr>
          <w:lang w:val="en-US"/>
        </w:rPr>
        <w:t xml:space="preserve"> shows the maximal configuration. A typical configuration may include many fewer rows and columns.</w:t>
      </w:r>
    </w:p>
    <w:p w14:paraId="3987197F" w14:textId="281CDFE4" w:rsidR="008D0852" w:rsidRDefault="00D23C09" w:rsidP="00D121F6">
      <w:pPr>
        <w:pStyle w:val="BodyText"/>
        <w:rPr>
          <w:lang w:val="en-US"/>
        </w:rPr>
      </w:pPr>
      <w:r>
        <w:rPr>
          <w:lang w:val="en-US"/>
        </w:rPr>
        <w:fldChar w:fldCharType="begin"/>
      </w:r>
      <w:r>
        <w:rPr>
          <w:lang w:val="en-US"/>
        </w:rPr>
        <w:instrText xml:space="preserve"> REF _Ref16868219 \h </w:instrText>
      </w:r>
      <w:r>
        <w:rPr>
          <w:lang w:val="en-US"/>
        </w:rPr>
      </w:r>
      <w:r>
        <w:rPr>
          <w:lang w:val="en-US"/>
        </w:rPr>
        <w:fldChar w:fldCharType="separate"/>
      </w:r>
      <w:r w:rsidR="00431AC5">
        <w:t xml:space="preserve">Figure </w:t>
      </w:r>
      <w:r w:rsidR="00431AC5">
        <w:rPr>
          <w:noProof/>
        </w:rPr>
        <w:t>9</w:t>
      </w:r>
      <w:r>
        <w:rPr>
          <w:lang w:val="en-US"/>
        </w:rPr>
        <w:fldChar w:fldCharType="end"/>
      </w:r>
      <w:r w:rsidR="00D121F6" w:rsidRPr="00D121F6">
        <w:rPr>
          <w:lang w:val="en-US"/>
        </w:rPr>
        <w:t xml:space="preserve"> illustrates an example of </w:t>
      </w:r>
      <w:proofErr w:type="spellStart"/>
      <w:r w:rsidR="005A6F99" w:rsidRPr="00AC1F3D">
        <w:rPr>
          <w:i/>
          <w:iCs/>
          <w:lang w:val="en-US"/>
        </w:rPr>
        <w:t>slotFormatCombinationPerCell</w:t>
      </w:r>
      <w:proofErr w:type="spellEnd"/>
      <w:r w:rsidR="005A6F99">
        <w:rPr>
          <w:lang w:val="en-US"/>
        </w:rPr>
        <w:t xml:space="preserve"> </w:t>
      </w:r>
      <w:r w:rsidR="00D121F6" w:rsidRPr="00D121F6">
        <w:rPr>
          <w:lang w:val="en-US"/>
        </w:rPr>
        <w:t>configuration</w:t>
      </w:r>
      <w:r w:rsidR="00AC1F3D">
        <w:rPr>
          <w:lang w:val="en-US"/>
        </w:rPr>
        <w:t>,</w:t>
      </w:r>
      <w:r w:rsidR="00D121F6" w:rsidRPr="00D121F6">
        <w:rPr>
          <w:lang w:val="en-US"/>
        </w:rPr>
        <w:t xml:space="preserve"> for a serving cell with </w:t>
      </w:r>
      <w:proofErr w:type="spellStart"/>
      <w:r w:rsidR="00D121F6" w:rsidRPr="00AC1F3D">
        <w:rPr>
          <w:i/>
          <w:iCs/>
          <w:lang w:val="en-US"/>
        </w:rPr>
        <w:t>ServingCellID</w:t>
      </w:r>
      <w:proofErr w:type="spellEnd"/>
      <w:r w:rsidR="00D121F6" w:rsidRPr="00D121F6">
        <w:rPr>
          <w:lang w:val="en-US"/>
        </w:rPr>
        <w:t xml:space="preserve"> = 3 </w:t>
      </w:r>
      <w:r w:rsidR="00AC1F3D">
        <w:rPr>
          <w:lang w:val="en-US"/>
        </w:rPr>
        <w:t>and</w:t>
      </w:r>
      <w:r w:rsidR="00AC1F3D" w:rsidRPr="00D121F6">
        <w:rPr>
          <w:lang w:val="en-US"/>
        </w:rPr>
        <w:t xml:space="preserve"> </w:t>
      </w:r>
      <w:r w:rsidR="00D121F6" w:rsidRPr="00D121F6">
        <w:rPr>
          <w:lang w:val="en-US"/>
        </w:rPr>
        <w:t xml:space="preserve">the </w:t>
      </w:r>
      <w:proofErr w:type="spellStart"/>
      <w:r w:rsidR="00D121F6" w:rsidRPr="002F5880">
        <w:rPr>
          <w:i/>
          <w:iCs/>
          <w:lang w:val="en-US"/>
        </w:rPr>
        <w:t>positionInDCI</w:t>
      </w:r>
      <w:proofErr w:type="spellEnd"/>
      <w:r w:rsidR="00D121F6" w:rsidRPr="002F5880">
        <w:rPr>
          <w:i/>
          <w:iCs/>
          <w:lang w:val="en-US"/>
        </w:rPr>
        <w:t xml:space="preserve"> </w:t>
      </w:r>
      <w:r w:rsidR="00AC1F3D">
        <w:rPr>
          <w:lang w:val="en-US"/>
        </w:rPr>
        <w:t xml:space="preserve">= 8 </w:t>
      </w:r>
      <w:r w:rsidR="00D121F6" w:rsidRPr="00D121F6">
        <w:rPr>
          <w:lang w:val="en-US"/>
        </w:rPr>
        <w:t xml:space="preserve">which means the SFI-index for the serving cell starts at bit 8 (counting from 0). As we can see 4 slot format combinations are configured for this cell each with a </w:t>
      </w:r>
      <w:r w:rsidR="00D121F6" w:rsidRPr="00364C2C">
        <w:rPr>
          <w:i/>
          <w:iCs/>
          <w:lang w:val="en-US"/>
        </w:rPr>
        <w:t>slotfomrats</w:t>
      </w:r>
      <w:r w:rsidR="00D121F6" w:rsidRPr="00D121F6">
        <w:rPr>
          <w:lang w:val="en-US"/>
        </w:rPr>
        <w:t xml:space="preserve"> indicating 6 consecutive slot patterns. Which means the UE should assume a format will be indicated in the DCI by SFI-index for the next 6 slots from the point of detecting the GC-PDDCH carrying the DCI. At this example the DCI is </w:t>
      </w:r>
      <w:r w:rsidR="00BD334D">
        <w:rPr>
          <w:lang w:val="en-US"/>
        </w:rPr>
        <w:t>points to</w:t>
      </w:r>
      <w:r w:rsidR="00BD334D" w:rsidRPr="00D121F6">
        <w:rPr>
          <w:lang w:val="en-US"/>
        </w:rPr>
        <w:t xml:space="preserve"> </w:t>
      </w:r>
      <w:r w:rsidR="00D121F6" w:rsidRPr="00D121F6">
        <w:rPr>
          <w:lang w:val="en-US"/>
        </w:rPr>
        <w:t xml:space="preserve">the last </w:t>
      </w:r>
      <w:r w:rsidR="00D121F6" w:rsidRPr="00364C2C">
        <w:rPr>
          <w:i/>
          <w:iCs/>
          <w:lang w:val="en-US"/>
        </w:rPr>
        <w:t>slotFormatCombination</w:t>
      </w:r>
      <w:r w:rsidR="00D121F6" w:rsidRPr="00D121F6">
        <w:rPr>
          <w:lang w:val="en-US"/>
        </w:rPr>
        <w:t xml:space="preserve"> in the </w:t>
      </w:r>
      <w:r w:rsidR="00D121F6" w:rsidRPr="00364C2C">
        <w:rPr>
          <w:i/>
          <w:iCs/>
          <w:lang w:val="en-US"/>
        </w:rPr>
        <w:t>SlotFormatCombinations</w:t>
      </w:r>
      <w:r w:rsidR="00D121F6" w:rsidRPr="00D121F6">
        <w:rPr>
          <w:lang w:val="en-US"/>
        </w:rPr>
        <w:t xml:space="preserve"> which is indicated by </w:t>
      </w:r>
      <w:r w:rsidR="00D121F6" w:rsidRPr="00364C2C">
        <w:rPr>
          <w:i/>
          <w:iCs/>
          <w:lang w:val="en-US"/>
        </w:rPr>
        <w:t>slotFormatCombinationID</w:t>
      </w:r>
      <w:r w:rsidR="00D121F6" w:rsidRPr="00D121F6">
        <w:rPr>
          <w:lang w:val="en-US"/>
        </w:rPr>
        <w:t xml:space="preserve"> = 3, therefore the SFI</w:t>
      </w:r>
      <w:r w:rsidR="00BD334D">
        <w:rPr>
          <w:lang w:val="en-US"/>
        </w:rPr>
        <w:t>-</w:t>
      </w:r>
      <w:r w:rsidR="00D121F6" w:rsidRPr="00D121F6">
        <w:rPr>
          <w:lang w:val="en-US"/>
        </w:rPr>
        <w:t>index corresponds to bit values “11”. And the DCI becomes xxxxxxxx11xx... (here x’s are set by SFI-indices for other serving cells</w:t>
      </w:r>
      <w:r w:rsidR="00364C2C">
        <w:rPr>
          <w:lang w:val="en-US"/>
        </w:rPr>
        <w:t>).</w:t>
      </w:r>
    </w:p>
    <w:p w14:paraId="4678BDF7" w14:textId="09DE4AE0" w:rsidR="00D121F6" w:rsidRDefault="00C95114" w:rsidP="00D121F6">
      <w:pPr>
        <w:pStyle w:val="BodyText"/>
        <w:rPr>
          <w:lang w:val="en-US"/>
        </w:rPr>
      </w:pPr>
      <w:r>
        <w:rPr>
          <w:rStyle w:val="IvDInstructiontextChar"/>
          <w:i w:val="0"/>
          <w:noProof/>
        </w:rPr>
        <w:drawing>
          <wp:inline distT="0" distB="0" distL="0" distR="0" wp14:anchorId="2FEB1851" wp14:editId="6910A3F4">
            <wp:extent cx="5641200" cy="3394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1200" cy="3394800"/>
                    </a:xfrm>
                    <a:prstGeom prst="rect">
                      <a:avLst/>
                    </a:prstGeom>
                    <a:noFill/>
                  </pic:spPr>
                </pic:pic>
              </a:graphicData>
            </a:graphic>
          </wp:inline>
        </w:drawing>
      </w:r>
    </w:p>
    <w:p w14:paraId="7C74E898" w14:textId="1AF283EC" w:rsidR="0095460C" w:rsidRDefault="0062697C" w:rsidP="0062697C">
      <w:pPr>
        <w:pStyle w:val="Caption"/>
        <w:rPr>
          <w:rStyle w:val="IvDbodytextChar"/>
          <w:i/>
          <w:sz w:val="20"/>
        </w:rPr>
      </w:pPr>
      <w:bookmarkStart w:id="40" w:name="_Ref16868219"/>
      <w:r>
        <w:t xml:space="preserve">Figure </w:t>
      </w:r>
      <w:fldSimple w:instr=" SEQ Figure \* ARABIC ">
        <w:r w:rsidR="00431AC5">
          <w:rPr>
            <w:noProof/>
          </w:rPr>
          <w:t>9</w:t>
        </w:r>
      </w:fldSimple>
      <w:bookmarkEnd w:id="40"/>
      <w:r w:rsidR="0095460C">
        <w:rPr>
          <w:rStyle w:val="IvDbodytextChar"/>
          <w:i/>
          <w:sz w:val="20"/>
        </w:rPr>
        <w:t xml:space="preserve"> example for Slot format combination configuration using DCI format 2_0 for slot format indication (SFI) for specific serving cell.</w:t>
      </w:r>
    </w:p>
    <w:p w14:paraId="4F4450FA" w14:textId="77777777" w:rsidR="00C95114" w:rsidRDefault="00C95114" w:rsidP="00D121F6">
      <w:pPr>
        <w:pStyle w:val="BodyText"/>
        <w:rPr>
          <w:lang w:val="en-US"/>
        </w:rPr>
      </w:pPr>
    </w:p>
    <w:p w14:paraId="7B1375CF" w14:textId="4CFBB51D" w:rsidR="00DE2CC9" w:rsidRPr="005E0680" w:rsidRDefault="00DE2CC9" w:rsidP="00DE2CC9">
      <w:pPr>
        <w:pStyle w:val="Heading2"/>
        <w:rPr>
          <w:lang w:val="en-US"/>
        </w:rPr>
      </w:pPr>
      <w:r>
        <w:rPr>
          <w:lang w:val="en-US"/>
        </w:rPr>
        <w:t>4.2</w:t>
      </w:r>
      <w:r>
        <w:rPr>
          <w:lang w:val="en-US"/>
        </w:rPr>
        <w:tab/>
        <w:t>COT structure indication for time domain</w:t>
      </w:r>
    </w:p>
    <w:p w14:paraId="4548CCBC" w14:textId="71E60147" w:rsidR="005F0E86" w:rsidRDefault="003D42D6" w:rsidP="005F0E86">
      <w:pPr>
        <w:pStyle w:val="BodyText"/>
        <w:rPr>
          <w:lang w:val="en-US"/>
        </w:rPr>
      </w:pPr>
      <w:r w:rsidRPr="00247B47">
        <w:rPr>
          <w:lang w:val="en-US"/>
        </w:rPr>
        <w:t>.</w:t>
      </w:r>
      <w:r>
        <w:rPr>
          <w:lang w:val="en-US"/>
        </w:rPr>
        <w:t xml:space="preserve"> </w:t>
      </w:r>
    </w:p>
    <w:p w14:paraId="0578F81E" w14:textId="62A787E5" w:rsidR="00D318F6" w:rsidRDefault="004A564A" w:rsidP="005F0E86">
      <w:pPr>
        <w:pStyle w:val="BodyText"/>
        <w:rPr>
          <w:lang w:val="en-US"/>
        </w:rPr>
      </w:pPr>
      <w:r>
        <w:rPr>
          <w:lang w:val="en-US"/>
        </w:rPr>
        <w:t>The slot format indicator</w:t>
      </w:r>
      <w:r w:rsidR="00A726BD">
        <w:rPr>
          <w:lang w:val="en-US"/>
        </w:rPr>
        <w:t xml:space="preserve"> in Rel-15 can be use</w:t>
      </w:r>
      <w:r w:rsidR="007D1B8A">
        <w:rPr>
          <w:lang w:val="en-US"/>
        </w:rPr>
        <w:t>d</w:t>
      </w:r>
      <w:r w:rsidR="00A726BD">
        <w:rPr>
          <w:lang w:val="en-US"/>
        </w:rPr>
        <w:t xml:space="preserve"> to provide information on direction of transmission within the COT </w:t>
      </w:r>
      <w:r w:rsidR="00EA1C47" w:rsidRPr="00EA1C47">
        <w:rPr>
          <w:lang w:val="en-US"/>
        </w:rPr>
        <w:t xml:space="preserve">for </w:t>
      </w:r>
      <w:r w:rsidR="001F15B3">
        <w:rPr>
          <w:lang w:val="en-US"/>
        </w:rPr>
        <w:t>overriding</w:t>
      </w:r>
      <w:r w:rsidR="00EA1C47" w:rsidRPr="00EA1C47">
        <w:rPr>
          <w:lang w:val="en-US"/>
        </w:rPr>
        <w:t xml:space="preserve"> PDCCH monitoring</w:t>
      </w:r>
      <w:r w:rsidR="001F15B3">
        <w:rPr>
          <w:lang w:val="en-US"/>
        </w:rPr>
        <w:t xml:space="preserve"> which can have power saving benefits</w:t>
      </w:r>
      <w:r w:rsidR="00EA1C47" w:rsidRPr="00EA1C47">
        <w:rPr>
          <w:lang w:val="en-US"/>
        </w:rPr>
        <w:t>.</w:t>
      </w:r>
      <w:r w:rsidR="002A48CC" w:rsidRPr="002A48CC">
        <w:t xml:space="preserve"> </w:t>
      </w:r>
      <w:r w:rsidR="002A48CC" w:rsidRPr="002A48CC">
        <w:rPr>
          <w:lang w:val="en-US"/>
        </w:rPr>
        <w:t>It seems that the current SFIs provide enough flexibility for this matter, however, if current 56 slot formats do not provide enough flexibility for switching DL-UL or UL-DL points for NRU, more patterns can be added to the SFI table using reserved SFI values</w:t>
      </w:r>
    </w:p>
    <w:p w14:paraId="539D7CF0" w14:textId="5AA3CD1C" w:rsidR="00785459" w:rsidRDefault="00EF4969" w:rsidP="00EA59A5">
      <w:pPr>
        <w:pStyle w:val="Observation"/>
        <w:rPr>
          <w:lang w:val="en-US"/>
        </w:rPr>
      </w:pPr>
      <w:bookmarkStart w:id="41" w:name="_Toc16886760"/>
      <w:r>
        <w:rPr>
          <w:lang w:val="en-US"/>
        </w:rPr>
        <w:t>SFI values</w:t>
      </w:r>
      <w:r w:rsidR="001517C1">
        <w:rPr>
          <w:lang w:val="en-US"/>
        </w:rPr>
        <w:t xml:space="preserve"> in Rel-15 provide enough flexibility </w:t>
      </w:r>
      <w:r w:rsidR="00EE3C37">
        <w:rPr>
          <w:lang w:val="en-US"/>
        </w:rPr>
        <w:t xml:space="preserve">for </w:t>
      </w:r>
      <w:r w:rsidR="00281FAF">
        <w:rPr>
          <w:lang w:val="en-US"/>
        </w:rPr>
        <w:t>slot forma</w:t>
      </w:r>
      <w:r w:rsidR="001F15B3">
        <w:rPr>
          <w:lang w:val="en-US"/>
        </w:rPr>
        <w:t>t</w:t>
      </w:r>
      <w:r w:rsidR="00281FAF">
        <w:rPr>
          <w:lang w:val="en-US"/>
        </w:rPr>
        <w:t xml:space="preserve"> indication</w:t>
      </w:r>
      <w:r w:rsidR="00EE3C37">
        <w:rPr>
          <w:lang w:val="en-US"/>
        </w:rPr>
        <w:t xml:space="preserve"> </w:t>
      </w:r>
      <w:r w:rsidR="003D480A">
        <w:rPr>
          <w:lang w:val="en-US"/>
        </w:rPr>
        <w:t>within the</w:t>
      </w:r>
      <w:r w:rsidR="00EE3C37">
        <w:rPr>
          <w:lang w:val="en-US"/>
        </w:rPr>
        <w:t xml:space="preserve"> COT </w:t>
      </w:r>
      <w:r w:rsidR="003D480A">
        <w:rPr>
          <w:lang w:val="en-US"/>
        </w:rPr>
        <w:t>for NRU</w:t>
      </w:r>
      <w:r w:rsidR="00843469">
        <w:rPr>
          <w:lang w:val="en-US"/>
        </w:rPr>
        <w:t>.</w:t>
      </w:r>
      <w:bookmarkEnd w:id="41"/>
    </w:p>
    <w:p w14:paraId="57A71511" w14:textId="7023DA59" w:rsidR="009B7644" w:rsidRDefault="00A01DEA" w:rsidP="005F0E86">
      <w:pPr>
        <w:pStyle w:val="BodyText"/>
        <w:rPr>
          <w:lang w:val="en-US"/>
        </w:rPr>
      </w:pPr>
      <w:r>
        <w:rPr>
          <w:lang w:val="en-US"/>
        </w:rPr>
        <w:t>In LTE-</w:t>
      </w:r>
      <w:r w:rsidR="003504DC">
        <w:rPr>
          <w:lang w:val="en-US"/>
        </w:rPr>
        <w:t xml:space="preserve">LAA the only possible LBT category </w:t>
      </w:r>
      <w:r w:rsidR="009E3D78">
        <w:rPr>
          <w:lang w:val="en-US"/>
        </w:rPr>
        <w:t>apart from</w:t>
      </w:r>
      <w:r w:rsidR="003504DC">
        <w:rPr>
          <w:lang w:val="en-US"/>
        </w:rPr>
        <w:t xml:space="preserve"> </w:t>
      </w:r>
      <w:r w:rsidR="00CB19F1">
        <w:rPr>
          <w:lang w:val="en-US"/>
        </w:rPr>
        <w:t>Cat4</w:t>
      </w:r>
      <w:r w:rsidR="003504DC">
        <w:rPr>
          <w:lang w:val="en-US"/>
        </w:rPr>
        <w:t xml:space="preserve"> </w:t>
      </w:r>
      <w:r w:rsidR="00356C52">
        <w:rPr>
          <w:lang w:val="en-US"/>
        </w:rPr>
        <w:t xml:space="preserve">LBT </w:t>
      </w:r>
      <w:r w:rsidR="00B24B75">
        <w:rPr>
          <w:lang w:val="en-US"/>
        </w:rPr>
        <w:t xml:space="preserve">which </w:t>
      </w:r>
      <w:r w:rsidR="009E3D78">
        <w:rPr>
          <w:lang w:val="en-US"/>
        </w:rPr>
        <w:t xml:space="preserve">UE </w:t>
      </w:r>
      <w:r w:rsidR="00B24B75">
        <w:rPr>
          <w:lang w:val="en-US"/>
        </w:rPr>
        <w:t xml:space="preserve">can </w:t>
      </w:r>
      <w:r w:rsidR="009E3D78">
        <w:rPr>
          <w:lang w:val="en-US"/>
        </w:rPr>
        <w:t>perform</w:t>
      </w:r>
      <w:r w:rsidR="003504DC">
        <w:rPr>
          <w:lang w:val="en-US"/>
        </w:rPr>
        <w:t xml:space="preserve"> within the gNB shared COT is </w:t>
      </w:r>
      <w:r w:rsidR="00CB19F1">
        <w:rPr>
          <w:lang w:val="en-US"/>
        </w:rPr>
        <w:t>Cat2</w:t>
      </w:r>
      <w:r w:rsidR="003504DC">
        <w:rPr>
          <w:lang w:val="en-US"/>
        </w:rPr>
        <w:t xml:space="preserve"> LBT. </w:t>
      </w:r>
      <w:r w:rsidR="00B24B75">
        <w:rPr>
          <w:lang w:val="en-US"/>
        </w:rPr>
        <w:t>T</w:t>
      </w:r>
      <w:r w:rsidR="003504DC">
        <w:rPr>
          <w:lang w:val="en-US"/>
        </w:rPr>
        <w:t xml:space="preserve">herefore, as long </w:t>
      </w:r>
      <w:r w:rsidR="00402B27">
        <w:rPr>
          <w:lang w:val="en-US"/>
        </w:rPr>
        <w:t xml:space="preserve">as </w:t>
      </w:r>
      <w:r w:rsidR="003504DC">
        <w:rPr>
          <w:lang w:val="en-US"/>
        </w:rPr>
        <w:t>UE knows the duration and offset</w:t>
      </w:r>
      <w:r w:rsidR="002318FE">
        <w:rPr>
          <w:lang w:val="en-US"/>
        </w:rPr>
        <w:t xml:space="preserve"> of uplink </w:t>
      </w:r>
      <w:r w:rsidR="004B66E4">
        <w:rPr>
          <w:lang w:val="en-US"/>
        </w:rPr>
        <w:t>transmission</w:t>
      </w:r>
      <w:r w:rsidR="00BB1331">
        <w:rPr>
          <w:lang w:val="en-US"/>
        </w:rPr>
        <w:t xml:space="preserve"> within the gNB shared COT</w:t>
      </w:r>
      <w:r w:rsidR="004B66E4">
        <w:rPr>
          <w:lang w:val="en-US"/>
        </w:rPr>
        <w:t>,</w:t>
      </w:r>
      <w:r w:rsidR="003504DC">
        <w:rPr>
          <w:lang w:val="en-US"/>
        </w:rPr>
        <w:t xml:space="preserve"> it </w:t>
      </w:r>
      <w:r w:rsidR="00B761FE">
        <w:rPr>
          <w:lang w:val="en-US"/>
        </w:rPr>
        <w:t xml:space="preserve">can </w:t>
      </w:r>
      <w:r w:rsidR="003504DC">
        <w:rPr>
          <w:lang w:val="en-US"/>
        </w:rPr>
        <w:t xml:space="preserve">decide </w:t>
      </w:r>
      <w:r w:rsidR="007D3D94">
        <w:rPr>
          <w:lang w:val="en-US"/>
        </w:rPr>
        <w:t xml:space="preserve">when </w:t>
      </w:r>
      <w:r w:rsidR="004B66E4">
        <w:rPr>
          <w:lang w:val="en-US"/>
        </w:rPr>
        <w:t xml:space="preserve">to </w:t>
      </w:r>
      <w:r w:rsidR="003504DC">
        <w:rPr>
          <w:lang w:val="en-US"/>
        </w:rPr>
        <w:t>perform CAT2 LBT</w:t>
      </w:r>
      <w:r w:rsidR="007D3D94">
        <w:rPr>
          <w:lang w:val="en-US"/>
        </w:rPr>
        <w:t>,</w:t>
      </w:r>
      <w:r w:rsidR="003504DC">
        <w:rPr>
          <w:lang w:val="en-US"/>
        </w:rPr>
        <w:t xml:space="preserve"> and no </w:t>
      </w:r>
      <w:r w:rsidR="004B66E4">
        <w:rPr>
          <w:lang w:val="en-US"/>
        </w:rPr>
        <w:t xml:space="preserve">additional </w:t>
      </w:r>
      <w:r w:rsidR="003504DC">
        <w:rPr>
          <w:lang w:val="en-US"/>
        </w:rPr>
        <w:t xml:space="preserve">information is needed for </w:t>
      </w:r>
      <w:r w:rsidR="00B24B75">
        <w:rPr>
          <w:lang w:val="en-US"/>
        </w:rPr>
        <w:t>this purpose</w:t>
      </w:r>
      <w:r w:rsidR="003504DC">
        <w:rPr>
          <w:lang w:val="en-US"/>
        </w:rPr>
        <w:t xml:space="preserve">. </w:t>
      </w:r>
      <w:r w:rsidR="00B24B75">
        <w:rPr>
          <w:lang w:val="en-US"/>
        </w:rPr>
        <w:t>In NR</w:t>
      </w:r>
      <w:r w:rsidR="00681B11">
        <w:rPr>
          <w:lang w:val="en-US"/>
        </w:rPr>
        <w:t>-</w:t>
      </w:r>
      <w:r w:rsidR="00B24B75">
        <w:rPr>
          <w:lang w:val="en-US"/>
        </w:rPr>
        <w:t xml:space="preserve">U </w:t>
      </w:r>
      <w:r w:rsidR="00EC2EE7">
        <w:rPr>
          <w:lang w:val="en-US"/>
        </w:rPr>
        <w:t>however, there</w:t>
      </w:r>
      <w:r w:rsidR="003504DC" w:rsidRPr="00EC2EE7">
        <w:rPr>
          <w:lang w:val="en-US"/>
        </w:rPr>
        <w:t xml:space="preserve"> are</w:t>
      </w:r>
      <w:r w:rsidR="00B24B75" w:rsidRPr="00EC2EE7">
        <w:rPr>
          <w:lang w:val="en-US"/>
        </w:rPr>
        <w:t xml:space="preserve"> </w:t>
      </w:r>
      <w:r w:rsidR="00531C43" w:rsidRPr="00EC2EE7">
        <w:rPr>
          <w:lang w:val="en-US"/>
        </w:rPr>
        <w:t>more</w:t>
      </w:r>
      <w:r w:rsidR="007C2E0D" w:rsidRPr="00EC2EE7">
        <w:rPr>
          <w:lang w:val="en-US"/>
        </w:rPr>
        <w:t xml:space="preserve"> </w:t>
      </w:r>
      <w:r w:rsidR="00B24B75" w:rsidRPr="00EC2EE7">
        <w:rPr>
          <w:lang w:val="en-US"/>
        </w:rPr>
        <w:t>LBT types that</w:t>
      </w:r>
      <w:r w:rsidR="003504DC" w:rsidRPr="00EC2EE7">
        <w:rPr>
          <w:lang w:val="en-US"/>
        </w:rPr>
        <w:t xml:space="preserve"> UE can perform </w:t>
      </w:r>
      <w:r w:rsidR="00BD4304" w:rsidRPr="00EC2EE7">
        <w:rPr>
          <w:lang w:val="en-US"/>
        </w:rPr>
        <w:t xml:space="preserve">within the gNB shared COT, </w:t>
      </w:r>
      <w:r w:rsidR="001A1E5E" w:rsidRPr="00EC2EE7">
        <w:rPr>
          <w:lang w:val="en-US"/>
        </w:rPr>
        <w:t xml:space="preserve">including </w:t>
      </w:r>
      <w:r w:rsidR="00CB19F1" w:rsidRPr="00EC2EE7">
        <w:rPr>
          <w:lang w:val="en-US"/>
        </w:rPr>
        <w:t>Cat1</w:t>
      </w:r>
      <w:r w:rsidR="00BD4304" w:rsidRPr="00EC2EE7">
        <w:rPr>
          <w:lang w:val="en-US"/>
        </w:rPr>
        <w:t xml:space="preserve"> or no LBT</w:t>
      </w:r>
      <w:r w:rsidR="00CA2DB5" w:rsidRPr="00EC2EE7">
        <w:rPr>
          <w:lang w:val="en-US"/>
        </w:rPr>
        <w:t xml:space="preserve"> </w:t>
      </w:r>
      <w:r w:rsidR="00BD4304" w:rsidRPr="00EC2EE7">
        <w:rPr>
          <w:lang w:val="en-US"/>
        </w:rPr>
        <w:t xml:space="preserve">for gaps equal to </w:t>
      </w:r>
      <w:r w:rsidR="003504DC" w:rsidRPr="00EC2EE7">
        <w:rPr>
          <w:lang w:val="en-US"/>
        </w:rPr>
        <w:t>16us</w:t>
      </w:r>
      <w:r w:rsidR="001F15B3">
        <w:rPr>
          <w:lang w:val="en-US"/>
        </w:rPr>
        <w:t xml:space="preserve"> or less</w:t>
      </w:r>
      <w:r w:rsidR="003504DC" w:rsidRPr="00EC2EE7">
        <w:rPr>
          <w:lang w:val="en-US"/>
        </w:rPr>
        <w:t xml:space="preserve">, </w:t>
      </w:r>
      <w:r w:rsidR="001F15B3">
        <w:rPr>
          <w:lang w:val="en-US"/>
        </w:rPr>
        <w:t xml:space="preserve">and </w:t>
      </w:r>
      <w:r w:rsidR="00CB19F1" w:rsidRPr="00EC2EE7">
        <w:rPr>
          <w:lang w:val="en-US"/>
        </w:rPr>
        <w:t>Cat2</w:t>
      </w:r>
      <w:r w:rsidR="003504DC" w:rsidRPr="00EC2EE7">
        <w:rPr>
          <w:lang w:val="en-US"/>
        </w:rPr>
        <w:t xml:space="preserve"> </w:t>
      </w:r>
      <w:r w:rsidR="00BD4304" w:rsidRPr="00EC2EE7">
        <w:rPr>
          <w:lang w:val="en-US"/>
        </w:rPr>
        <w:t xml:space="preserve">for gaps </w:t>
      </w:r>
      <w:r w:rsidR="001F15B3">
        <w:rPr>
          <w:lang w:val="en-US"/>
        </w:rPr>
        <w:t>of 16 and</w:t>
      </w:r>
      <w:r w:rsidR="00BD4304" w:rsidRPr="00EC2EE7">
        <w:rPr>
          <w:lang w:val="en-US"/>
        </w:rPr>
        <w:t xml:space="preserve"> 25 us</w:t>
      </w:r>
      <w:r w:rsidR="00072E02" w:rsidRPr="00EC2EE7">
        <w:rPr>
          <w:lang w:val="en-US"/>
        </w:rPr>
        <w:t>.</w:t>
      </w:r>
      <w:r w:rsidR="003504DC">
        <w:rPr>
          <w:lang w:val="en-US"/>
        </w:rPr>
        <w:t xml:space="preserve"> </w:t>
      </w:r>
      <w:r w:rsidR="003565F5">
        <w:rPr>
          <w:lang w:val="en-US"/>
        </w:rPr>
        <w:t>Therefore,</w:t>
      </w:r>
      <w:r w:rsidR="003504DC">
        <w:rPr>
          <w:lang w:val="en-US"/>
        </w:rPr>
        <w:t xml:space="preserve"> it is necessary that UE </w:t>
      </w:r>
      <w:r w:rsidR="00D82E43">
        <w:rPr>
          <w:lang w:val="en-US"/>
        </w:rPr>
        <w:t xml:space="preserve">is </w:t>
      </w:r>
      <w:r w:rsidR="003504DC">
        <w:rPr>
          <w:lang w:val="en-US"/>
        </w:rPr>
        <w:t xml:space="preserve">informed </w:t>
      </w:r>
      <w:r w:rsidR="00D82E43">
        <w:rPr>
          <w:lang w:val="en-US"/>
        </w:rPr>
        <w:t>about the</w:t>
      </w:r>
      <w:r w:rsidR="003504DC">
        <w:rPr>
          <w:lang w:val="en-US"/>
        </w:rPr>
        <w:t xml:space="preserve"> LBT </w:t>
      </w:r>
      <w:r w:rsidR="00D82E43">
        <w:rPr>
          <w:lang w:val="en-US"/>
        </w:rPr>
        <w:t xml:space="preserve">category </w:t>
      </w:r>
      <w:r w:rsidR="001F15B3">
        <w:rPr>
          <w:lang w:val="en-US"/>
        </w:rPr>
        <w:t xml:space="preserve">(including the gap duration) </w:t>
      </w:r>
      <w:r w:rsidR="00D82E43">
        <w:rPr>
          <w:lang w:val="en-US"/>
        </w:rPr>
        <w:t xml:space="preserve">that </w:t>
      </w:r>
      <w:r w:rsidR="001F15B3">
        <w:rPr>
          <w:lang w:val="en-US"/>
        </w:rPr>
        <w:t xml:space="preserve">the UE </w:t>
      </w:r>
      <w:r w:rsidR="003504DC">
        <w:rPr>
          <w:lang w:val="en-US"/>
        </w:rPr>
        <w:t xml:space="preserve">can perform within the gNB shared COT. </w:t>
      </w:r>
      <w:r w:rsidR="00D82E43">
        <w:rPr>
          <w:lang w:val="en-US"/>
        </w:rPr>
        <w:t>This information is provided</w:t>
      </w:r>
      <w:r w:rsidR="001C2B5D">
        <w:rPr>
          <w:lang w:val="en-US"/>
        </w:rPr>
        <w:t xml:space="preserve"> to the UE</w:t>
      </w:r>
      <w:r w:rsidR="00D82E43">
        <w:rPr>
          <w:lang w:val="en-US"/>
        </w:rPr>
        <w:t xml:space="preserve"> in the dedicated DCI for DL assignment </w:t>
      </w:r>
      <w:r w:rsidR="00A2229D">
        <w:rPr>
          <w:lang w:val="en-US"/>
        </w:rPr>
        <w:t>and/o</w:t>
      </w:r>
      <w:r w:rsidR="00356C52">
        <w:rPr>
          <w:lang w:val="en-US"/>
        </w:rPr>
        <w:t>r</w:t>
      </w:r>
      <w:r w:rsidR="00D82E43">
        <w:rPr>
          <w:lang w:val="en-US"/>
        </w:rPr>
        <w:t xml:space="preserve"> UL grant</w:t>
      </w:r>
      <w:r w:rsidR="001C2B5D">
        <w:rPr>
          <w:lang w:val="en-US"/>
        </w:rPr>
        <w:t>.</w:t>
      </w:r>
      <w:r w:rsidR="00D82E43">
        <w:rPr>
          <w:lang w:val="en-US"/>
        </w:rPr>
        <w:t xml:space="preserve"> </w:t>
      </w:r>
      <w:r w:rsidR="004D1C66">
        <w:rPr>
          <w:lang w:val="en-US"/>
        </w:rPr>
        <w:t>However</w:t>
      </w:r>
      <w:r w:rsidR="00C42517">
        <w:rPr>
          <w:lang w:val="en-US"/>
        </w:rPr>
        <w:t>,</w:t>
      </w:r>
      <w:r w:rsidR="004D1C66">
        <w:rPr>
          <w:lang w:val="en-US"/>
        </w:rPr>
        <w:t xml:space="preserve"> there are some cases </w:t>
      </w:r>
      <w:r w:rsidR="00C42517">
        <w:rPr>
          <w:lang w:val="en-US"/>
        </w:rPr>
        <w:t xml:space="preserve">that indicating the LBT category in GC-PDCCH </w:t>
      </w:r>
      <w:r w:rsidR="003D2D5E">
        <w:rPr>
          <w:lang w:val="en-US"/>
        </w:rPr>
        <w:t xml:space="preserve">is also beneficial </w:t>
      </w:r>
      <w:r w:rsidR="002D62B3">
        <w:rPr>
          <w:lang w:val="en-US"/>
        </w:rPr>
        <w:t xml:space="preserve">and </w:t>
      </w:r>
      <w:r w:rsidR="0063314F">
        <w:rPr>
          <w:lang w:val="en-US"/>
        </w:rPr>
        <w:t>allows</w:t>
      </w:r>
      <w:r w:rsidR="002D62B3">
        <w:rPr>
          <w:lang w:val="en-US"/>
        </w:rPr>
        <w:t xml:space="preserve"> the UE to</w:t>
      </w:r>
      <w:r w:rsidR="00C42517">
        <w:rPr>
          <w:lang w:val="en-US"/>
        </w:rPr>
        <w:t xml:space="preserve"> perform shorter LBT when applicable. </w:t>
      </w:r>
      <w:r w:rsidR="00D47E0E">
        <w:rPr>
          <w:lang w:val="en-US"/>
        </w:rPr>
        <w:t xml:space="preserve">One example is </w:t>
      </w:r>
      <w:r w:rsidR="00A21A46">
        <w:rPr>
          <w:lang w:val="en-US"/>
        </w:rPr>
        <w:t xml:space="preserve">when </w:t>
      </w:r>
      <w:r w:rsidR="00FC5B2D">
        <w:rPr>
          <w:lang w:val="en-US"/>
        </w:rPr>
        <w:t>semi-</w:t>
      </w:r>
      <w:r w:rsidR="00356C52">
        <w:rPr>
          <w:lang w:val="en-US"/>
        </w:rPr>
        <w:t xml:space="preserve">statically </w:t>
      </w:r>
      <w:r w:rsidR="00FC5B2D">
        <w:rPr>
          <w:lang w:val="en-US"/>
        </w:rPr>
        <w:t>configured</w:t>
      </w:r>
      <w:r w:rsidR="00D82E43">
        <w:rPr>
          <w:lang w:val="en-US"/>
        </w:rPr>
        <w:t xml:space="preserve"> transmission</w:t>
      </w:r>
      <w:r w:rsidR="00A21A46">
        <w:rPr>
          <w:lang w:val="en-US"/>
        </w:rPr>
        <w:t xml:space="preserve"> </w:t>
      </w:r>
      <w:r w:rsidR="00356C52">
        <w:rPr>
          <w:lang w:val="en-US"/>
        </w:rPr>
        <w:t xml:space="preserve">(configured grant PUSCH) </w:t>
      </w:r>
      <w:r w:rsidR="00D47E0E">
        <w:rPr>
          <w:lang w:val="en-US"/>
        </w:rPr>
        <w:t xml:space="preserve">coincides with </w:t>
      </w:r>
      <w:r w:rsidR="00A21A46">
        <w:rPr>
          <w:lang w:val="en-US"/>
        </w:rPr>
        <w:t>a gNB shared COT</w:t>
      </w:r>
      <w:r w:rsidR="00366727">
        <w:rPr>
          <w:lang w:val="en-US"/>
        </w:rPr>
        <w:t xml:space="preserve">, </w:t>
      </w:r>
      <w:r w:rsidR="00D82E43">
        <w:rPr>
          <w:lang w:val="en-US"/>
        </w:rPr>
        <w:t>or when</w:t>
      </w:r>
      <w:r w:rsidR="00366727">
        <w:rPr>
          <w:lang w:val="en-US"/>
        </w:rPr>
        <w:t xml:space="preserve"> dedicated data</w:t>
      </w:r>
      <w:r w:rsidR="00D82E43">
        <w:rPr>
          <w:lang w:val="en-US"/>
        </w:rPr>
        <w:t xml:space="preserve"> is</w:t>
      </w:r>
      <w:r w:rsidR="00366727">
        <w:rPr>
          <w:lang w:val="en-US"/>
        </w:rPr>
        <w:t xml:space="preserve"> already scheduled but </w:t>
      </w:r>
      <w:r w:rsidR="003F6083">
        <w:rPr>
          <w:lang w:val="en-US"/>
        </w:rPr>
        <w:t>later</w:t>
      </w:r>
      <w:r w:rsidR="00366727">
        <w:rPr>
          <w:lang w:val="en-US"/>
        </w:rPr>
        <w:t xml:space="preserve"> </w:t>
      </w:r>
      <w:r w:rsidR="00CC4137">
        <w:rPr>
          <w:lang w:val="en-US"/>
        </w:rPr>
        <w:t>coincide with</w:t>
      </w:r>
      <w:r w:rsidR="00366727">
        <w:rPr>
          <w:lang w:val="en-US"/>
        </w:rPr>
        <w:t xml:space="preserve"> the COT acquired by gNB after sending the UL grant</w:t>
      </w:r>
      <w:r w:rsidR="005F0E86">
        <w:rPr>
          <w:lang w:val="en-US"/>
        </w:rPr>
        <w:t>.</w:t>
      </w:r>
    </w:p>
    <w:p w14:paraId="08CC20E0" w14:textId="3C6105E2" w:rsidR="00EF5206" w:rsidRDefault="00AB3BE2" w:rsidP="00D37D49">
      <w:pPr>
        <w:pStyle w:val="BodyText"/>
        <w:rPr>
          <w:lang w:val="en-US"/>
        </w:rPr>
      </w:pPr>
      <w:r>
        <w:rPr>
          <w:lang w:val="en-US"/>
        </w:rPr>
        <w:t>One wa</w:t>
      </w:r>
      <w:r w:rsidR="00D37D49">
        <w:rPr>
          <w:lang w:val="en-US"/>
        </w:rPr>
        <w:t>y</w:t>
      </w:r>
      <w:r>
        <w:rPr>
          <w:lang w:val="en-US"/>
        </w:rPr>
        <w:t xml:space="preserve"> to provide </w:t>
      </w:r>
      <w:r w:rsidR="009B7644">
        <w:rPr>
          <w:lang w:val="en-US"/>
        </w:rPr>
        <w:t>this information</w:t>
      </w:r>
      <w:r>
        <w:rPr>
          <w:lang w:val="en-US"/>
        </w:rPr>
        <w:t xml:space="preserve"> </w:t>
      </w:r>
      <w:r w:rsidR="00092E89">
        <w:rPr>
          <w:lang w:val="en-US"/>
        </w:rPr>
        <w:t xml:space="preserve">is </w:t>
      </w:r>
      <w:r w:rsidR="00D93259">
        <w:rPr>
          <w:lang w:val="en-US"/>
        </w:rPr>
        <w:t>by</w:t>
      </w:r>
      <w:r w:rsidR="00D37D49">
        <w:rPr>
          <w:lang w:val="en-US"/>
        </w:rPr>
        <w:t xml:space="preserve"> reusing the current </w:t>
      </w:r>
      <w:r w:rsidR="00D93259">
        <w:rPr>
          <w:lang w:val="en-US"/>
        </w:rPr>
        <w:t xml:space="preserve">DCI format 2_0 </w:t>
      </w:r>
      <w:r w:rsidR="00D37D49">
        <w:rPr>
          <w:lang w:val="en-US"/>
        </w:rPr>
        <w:t xml:space="preserve">signaling </w:t>
      </w:r>
      <w:r w:rsidR="00D93259">
        <w:rPr>
          <w:lang w:val="en-US"/>
        </w:rPr>
        <w:t xml:space="preserve">without modifications </w:t>
      </w:r>
      <w:r w:rsidR="00CE63E3">
        <w:rPr>
          <w:lang w:val="en-US"/>
        </w:rPr>
        <w:t xml:space="preserve">is to define </w:t>
      </w:r>
      <w:r w:rsidR="00537C9E">
        <w:rPr>
          <w:lang w:val="en-US"/>
        </w:rPr>
        <w:t xml:space="preserve">new RRC </w:t>
      </w:r>
      <w:r w:rsidR="00ED575E">
        <w:rPr>
          <w:lang w:val="en-US"/>
        </w:rPr>
        <w:t xml:space="preserve">parameters </w:t>
      </w:r>
      <w:r w:rsidR="00733D3C">
        <w:rPr>
          <w:lang w:val="en-US"/>
        </w:rPr>
        <w:t>to</w:t>
      </w:r>
      <w:r w:rsidR="00537C9E">
        <w:rPr>
          <w:lang w:val="en-US"/>
        </w:rPr>
        <w:t xml:space="preserve"> indicate </w:t>
      </w:r>
      <w:r w:rsidR="00356C52">
        <w:rPr>
          <w:lang w:val="en-US"/>
        </w:rPr>
        <w:t xml:space="preserve">the </w:t>
      </w:r>
      <w:r w:rsidR="00733D3C">
        <w:rPr>
          <w:lang w:val="en-US"/>
        </w:rPr>
        <w:t>type o</w:t>
      </w:r>
      <w:r w:rsidR="00356C52">
        <w:rPr>
          <w:lang w:val="en-US"/>
        </w:rPr>
        <w:t>f</w:t>
      </w:r>
      <w:r w:rsidR="00733D3C">
        <w:rPr>
          <w:lang w:val="en-US"/>
        </w:rPr>
        <w:t xml:space="preserve"> LBT that needs to be performed in the </w:t>
      </w:r>
      <w:r w:rsidR="001D06C9">
        <w:rPr>
          <w:lang w:val="en-US"/>
        </w:rPr>
        <w:t xml:space="preserve">slot and </w:t>
      </w:r>
      <w:r w:rsidR="00B4688A">
        <w:rPr>
          <w:lang w:val="en-US"/>
        </w:rPr>
        <w:t>attach</w:t>
      </w:r>
      <w:r w:rsidR="00356C52">
        <w:rPr>
          <w:lang w:val="en-US"/>
        </w:rPr>
        <w:t xml:space="preserve"> </w:t>
      </w:r>
      <w:r w:rsidR="00092E89">
        <w:rPr>
          <w:lang w:val="en-US"/>
        </w:rPr>
        <w:t xml:space="preserve">the index for this information </w:t>
      </w:r>
      <w:r w:rsidR="00356C52">
        <w:rPr>
          <w:lang w:val="en-US"/>
        </w:rPr>
        <w:t xml:space="preserve">to </w:t>
      </w:r>
      <w:r w:rsidR="00B4688A">
        <w:rPr>
          <w:lang w:val="en-US"/>
        </w:rPr>
        <w:t>each SFI value</w:t>
      </w:r>
      <w:r w:rsidR="00305932">
        <w:rPr>
          <w:lang w:val="en-US"/>
        </w:rPr>
        <w:t xml:space="preserve"> in</w:t>
      </w:r>
      <w:r w:rsidR="00356C52">
        <w:rPr>
          <w:lang w:val="en-US"/>
        </w:rPr>
        <w:t xml:space="preserve"> the</w:t>
      </w:r>
      <w:r w:rsidR="00487692">
        <w:rPr>
          <w:lang w:val="en-US"/>
        </w:rPr>
        <w:t xml:space="preserve"> </w:t>
      </w:r>
      <w:r w:rsidR="00487692" w:rsidRPr="009E6AF9">
        <w:rPr>
          <w:i/>
          <w:iCs/>
          <w:lang w:val="en-US"/>
        </w:rPr>
        <w:t>slotFo</w:t>
      </w:r>
      <w:r w:rsidR="006709B7">
        <w:rPr>
          <w:i/>
          <w:iCs/>
          <w:lang w:val="en-US"/>
        </w:rPr>
        <w:t>r</w:t>
      </w:r>
      <w:r w:rsidR="00487692" w:rsidRPr="009E6AF9">
        <w:rPr>
          <w:i/>
          <w:iCs/>
          <w:lang w:val="en-US"/>
        </w:rPr>
        <w:t>matCombination</w:t>
      </w:r>
      <w:r w:rsidR="00487692">
        <w:rPr>
          <w:lang w:val="en-US"/>
        </w:rPr>
        <w:t xml:space="preserve"> table</w:t>
      </w:r>
      <w:r w:rsidR="004E1859">
        <w:rPr>
          <w:lang w:val="en-US"/>
        </w:rPr>
        <w:t>.</w:t>
      </w:r>
      <w:r w:rsidR="000E7B66">
        <w:rPr>
          <w:lang w:val="en-US"/>
        </w:rPr>
        <w:t xml:space="preserve"> </w:t>
      </w:r>
      <w:r w:rsidR="00092E89">
        <w:rPr>
          <w:lang w:val="en-US"/>
        </w:rPr>
        <w:t xml:space="preserve">An example of this is shown below in </w:t>
      </w:r>
      <w:r w:rsidR="000E7B66">
        <w:rPr>
          <w:lang w:val="en-US"/>
        </w:rPr>
        <w:t>tabular form in</w:t>
      </w:r>
      <w:r w:rsidR="0062697C">
        <w:rPr>
          <w:lang w:val="en-US"/>
        </w:rPr>
        <w:t xml:space="preserve"> </w:t>
      </w:r>
      <w:r w:rsidR="0062697C">
        <w:rPr>
          <w:lang w:val="en-US"/>
        </w:rPr>
        <w:fldChar w:fldCharType="begin"/>
      </w:r>
      <w:r w:rsidR="0062697C">
        <w:rPr>
          <w:lang w:val="en-US"/>
        </w:rPr>
        <w:instrText xml:space="preserve"> REF _Ref16868065 \h </w:instrText>
      </w:r>
      <w:r w:rsidR="0062697C">
        <w:rPr>
          <w:lang w:val="en-US"/>
        </w:rPr>
      </w:r>
      <w:r w:rsidR="0062697C">
        <w:rPr>
          <w:lang w:val="en-US"/>
        </w:rPr>
        <w:fldChar w:fldCharType="separate"/>
      </w:r>
      <w:r w:rsidR="00431AC5">
        <w:t xml:space="preserve">Table </w:t>
      </w:r>
      <w:r w:rsidR="00431AC5">
        <w:rPr>
          <w:noProof/>
        </w:rPr>
        <w:t>4</w:t>
      </w:r>
      <w:r w:rsidR="0062697C">
        <w:rPr>
          <w:lang w:val="en-US"/>
        </w:rPr>
        <w:fldChar w:fldCharType="end"/>
      </w:r>
      <w:r w:rsidR="00D70562">
        <w:rPr>
          <w:lang w:val="en-US"/>
        </w:rPr>
        <w:t xml:space="preserve">, but the exact </w:t>
      </w:r>
      <w:r w:rsidR="00487692">
        <w:rPr>
          <w:lang w:val="en-US"/>
        </w:rPr>
        <w:t xml:space="preserve">RRC parameter </w:t>
      </w:r>
      <w:r w:rsidR="001F7FF1">
        <w:rPr>
          <w:lang w:val="en-US"/>
        </w:rPr>
        <w:t xml:space="preserve">structure </w:t>
      </w:r>
      <w:r w:rsidR="00D70562">
        <w:rPr>
          <w:lang w:val="en-US"/>
        </w:rPr>
        <w:t xml:space="preserve">can be </w:t>
      </w:r>
      <w:r w:rsidR="00EF5206">
        <w:rPr>
          <w:lang w:val="en-US"/>
        </w:rPr>
        <w:t>identified in RAN2.</w:t>
      </w:r>
    </w:p>
    <w:p w14:paraId="7A14415C" w14:textId="7CC9CFB0" w:rsidR="00EF5206" w:rsidRPr="009E6AF9" w:rsidRDefault="00D77BBD" w:rsidP="00D77BBD">
      <w:pPr>
        <w:pStyle w:val="Caption"/>
      </w:pPr>
      <w:bookmarkStart w:id="42" w:name="_Ref16868065"/>
      <w:r>
        <w:t xml:space="preserve">Table </w:t>
      </w:r>
      <w:fldSimple w:instr=" SEQ Table \* ARABIC ">
        <w:r w:rsidR="00431AC5">
          <w:rPr>
            <w:noProof/>
          </w:rPr>
          <w:t>4</w:t>
        </w:r>
      </w:fldSimple>
      <w:bookmarkEnd w:id="42"/>
      <w:r w:rsidR="00EF5206" w:rsidRPr="009E6AF9">
        <w:t xml:space="preserve">: </w:t>
      </w:r>
      <w:r>
        <w:t>T</w:t>
      </w:r>
      <w:r w:rsidR="00EF5206" w:rsidRPr="009E6AF9">
        <w:t xml:space="preserve">able with </w:t>
      </w:r>
      <w:r w:rsidR="002C1F69">
        <w:t>slot property</w:t>
      </w:r>
      <w:r>
        <w:t xml:space="preserve"> indices </w:t>
      </w:r>
    </w:p>
    <w:tbl>
      <w:tblPr>
        <w:tblStyle w:val="TableGrid"/>
        <w:tblW w:w="0" w:type="auto"/>
        <w:jc w:val="center"/>
        <w:tblLook w:val="04A0" w:firstRow="1" w:lastRow="0" w:firstColumn="1" w:lastColumn="0" w:noHBand="0" w:noVBand="1"/>
      </w:tblPr>
      <w:tblGrid>
        <w:gridCol w:w="992"/>
        <w:gridCol w:w="4531"/>
      </w:tblGrid>
      <w:tr w:rsidR="00EF5206" w14:paraId="7A92E89F" w14:textId="77777777" w:rsidTr="009E6AF9">
        <w:trPr>
          <w:jc w:val="center"/>
        </w:trPr>
        <w:tc>
          <w:tcPr>
            <w:tcW w:w="992" w:type="dxa"/>
          </w:tcPr>
          <w:p w14:paraId="761C5B88" w14:textId="77777777" w:rsidR="00EF5206" w:rsidRPr="00C14916" w:rsidRDefault="00EF5206" w:rsidP="006106A4">
            <w:pPr>
              <w:pStyle w:val="BodyText"/>
              <w:rPr>
                <w:b/>
              </w:rPr>
            </w:pPr>
            <w:r w:rsidRPr="00C14916">
              <w:rPr>
                <w:b/>
              </w:rPr>
              <w:t>Index</w:t>
            </w:r>
          </w:p>
        </w:tc>
        <w:tc>
          <w:tcPr>
            <w:tcW w:w="4531" w:type="dxa"/>
          </w:tcPr>
          <w:p w14:paraId="38F06D03" w14:textId="77777777" w:rsidR="00EF5206" w:rsidRPr="00C14916" w:rsidRDefault="00EF5206" w:rsidP="006106A4">
            <w:pPr>
              <w:pStyle w:val="BodyText"/>
              <w:rPr>
                <w:b/>
              </w:rPr>
            </w:pPr>
            <w:r w:rsidRPr="00C14916">
              <w:rPr>
                <w:b/>
              </w:rPr>
              <w:t>Property</w:t>
            </w:r>
          </w:p>
        </w:tc>
      </w:tr>
      <w:tr w:rsidR="00EF5206" w14:paraId="2E37A4F3" w14:textId="77777777" w:rsidTr="009E6AF9">
        <w:trPr>
          <w:jc w:val="center"/>
        </w:trPr>
        <w:tc>
          <w:tcPr>
            <w:tcW w:w="992" w:type="dxa"/>
          </w:tcPr>
          <w:p w14:paraId="77932A57" w14:textId="1463810A" w:rsidR="00EF5206" w:rsidRDefault="00092E89" w:rsidP="006106A4">
            <w:pPr>
              <w:pStyle w:val="BodyText"/>
            </w:pPr>
            <w:r>
              <w:t>0</w:t>
            </w:r>
          </w:p>
        </w:tc>
        <w:tc>
          <w:tcPr>
            <w:tcW w:w="4531" w:type="dxa"/>
          </w:tcPr>
          <w:p w14:paraId="63CC431D" w14:textId="41907AB3" w:rsidR="00EF5206" w:rsidRDefault="00EF5206" w:rsidP="006106A4">
            <w:pPr>
              <w:pStyle w:val="BodyText"/>
            </w:pPr>
            <w:r>
              <w:t xml:space="preserve">All DL to UL switches in this slot </w:t>
            </w:r>
            <w:r w:rsidR="00092E89">
              <w:t xml:space="preserve">do not </w:t>
            </w:r>
            <w:r>
              <w:t>require</w:t>
            </w:r>
            <w:r w:rsidR="00092E89">
              <w:t xml:space="preserve"> </w:t>
            </w:r>
            <w:r>
              <w:t>LBT for the UL transmission</w:t>
            </w:r>
          </w:p>
        </w:tc>
      </w:tr>
      <w:tr w:rsidR="00EF5206" w14:paraId="18693519" w14:textId="77777777" w:rsidTr="009E6AF9">
        <w:trPr>
          <w:jc w:val="center"/>
        </w:trPr>
        <w:tc>
          <w:tcPr>
            <w:tcW w:w="992" w:type="dxa"/>
          </w:tcPr>
          <w:p w14:paraId="27BFC9F5" w14:textId="5EBFF2A7" w:rsidR="00EF5206" w:rsidRDefault="00092E89" w:rsidP="006106A4">
            <w:pPr>
              <w:pStyle w:val="BodyText"/>
            </w:pPr>
            <w:r>
              <w:t>1</w:t>
            </w:r>
          </w:p>
        </w:tc>
        <w:tc>
          <w:tcPr>
            <w:tcW w:w="4531" w:type="dxa"/>
          </w:tcPr>
          <w:p w14:paraId="03B38104" w14:textId="727C4523" w:rsidR="00EF5206" w:rsidRDefault="00EF5206" w:rsidP="006106A4">
            <w:pPr>
              <w:pStyle w:val="BodyText"/>
            </w:pPr>
            <w:r>
              <w:t xml:space="preserve">All DL to UL switch occurs in this slot require a </w:t>
            </w:r>
            <w:r w:rsidR="00092E89">
              <w:t xml:space="preserve">category 2 </w:t>
            </w:r>
            <w:r>
              <w:t>25 microsecond LBT for the UL transmission</w:t>
            </w:r>
          </w:p>
        </w:tc>
      </w:tr>
      <w:tr w:rsidR="00EF5206" w14:paraId="1B91AB77" w14:textId="77777777" w:rsidTr="009E6AF9">
        <w:trPr>
          <w:jc w:val="center"/>
        </w:trPr>
        <w:tc>
          <w:tcPr>
            <w:tcW w:w="992" w:type="dxa"/>
          </w:tcPr>
          <w:p w14:paraId="1726ADDE" w14:textId="04CCD168" w:rsidR="00EF5206" w:rsidRDefault="00092E89" w:rsidP="006106A4">
            <w:pPr>
              <w:pStyle w:val="BodyText"/>
            </w:pPr>
            <w:r>
              <w:t>2</w:t>
            </w:r>
          </w:p>
        </w:tc>
        <w:tc>
          <w:tcPr>
            <w:tcW w:w="4531" w:type="dxa"/>
          </w:tcPr>
          <w:p w14:paraId="41E8D073" w14:textId="24486596" w:rsidR="00EF5206" w:rsidRDefault="009B7644" w:rsidP="006106A4">
            <w:pPr>
              <w:pStyle w:val="BodyText"/>
            </w:pPr>
            <w:r w:rsidRPr="009B7644">
              <w:t>All DL to UL switch occurs in this slot require a</w:t>
            </w:r>
            <w:r w:rsidR="00092E89">
              <w:t xml:space="preserve"> category 2 </w:t>
            </w:r>
            <w:r w:rsidR="00DD4752">
              <w:t>16</w:t>
            </w:r>
            <w:r w:rsidRPr="009B7644">
              <w:t xml:space="preserve"> microsecond LBT for the UL transmission</w:t>
            </w:r>
          </w:p>
        </w:tc>
      </w:tr>
      <w:tr w:rsidR="00EF5206" w14:paraId="13E35781" w14:textId="77777777" w:rsidTr="009E6AF9">
        <w:trPr>
          <w:jc w:val="center"/>
        </w:trPr>
        <w:tc>
          <w:tcPr>
            <w:tcW w:w="992" w:type="dxa"/>
          </w:tcPr>
          <w:p w14:paraId="3E6BA5FC" w14:textId="77777777" w:rsidR="00EF5206" w:rsidRDefault="00EF5206" w:rsidP="006106A4">
            <w:pPr>
              <w:pStyle w:val="BodyText"/>
            </w:pPr>
            <w:r>
              <w:t>…</w:t>
            </w:r>
          </w:p>
        </w:tc>
        <w:tc>
          <w:tcPr>
            <w:tcW w:w="4531" w:type="dxa"/>
          </w:tcPr>
          <w:p w14:paraId="42CB7F67" w14:textId="77777777" w:rsidR="00EF5206" w:rsidRDefault="00EF5206" w:rsidP="006106A4">
            <w:pPr>
              <w:pStyle w:val="BodyText"/>
            </w:pPr>
            <w:r>
              <w:t>…</w:t>
            </w:r>
          </w:p>
        </w:tc>
      </w:tr>
    </w:tbl>
    <w:p w14:paraId="279A705D" w14:textId="404DEEBA" w:rsidR="00CE63E3" w:rsidRDefault="00CE63E3" w:rsidP="00D37D49">
      <w:pPr>
        <w:pStyle w:val="BodyText"/>
        <w:rPr>
          <w:lang w:val="en-US"/>
        </w:rPr>
      </w:pPr>
    </w:p>
    <w:p w14:paraId="3039D8EE" w14:textId="310B407E" w:rsidR="004C3851" w:rsidRDefault="00D23C09" w:rsidP="00C611D2">
      <w:pPr>
        <w:pStyle w:val="BodyText"/>
        <w:rPr>
          <w:lang w:val="en-US"/>
        </w:rPr>
      </w:pPr>
      <w:r>
        <w:rPr>
          <w:lang w:val="en-US"/>
        </w:rPr>
        <w:fldChar w:fldCharType="begin"/>
      </w:r>
      <w:r>
        <w:rPr>
          <w:lang w:val="en-US"/>
        </w:rPr>
        <w:instrText xml:space="preserve"> REF _Ref16868249 \h </w:instrText>
      </w:r>
      <w:r>
        <w:rPr>
          <w:lang w:val="en-US"/>
        </w:rPr>
      </w:r>
      <w:r>
        <w:rPr>
          <w:lang w:val="en-US"/>
        </w:rPr>
        <w:fldChar w:fldCharType="separate"/>
      </w:r>
      <w:r w:rsidR="00431AC5">
        <w:t xml:space="preserve">Table </w:t>
      </w:r>
      <w:r w:rsidR="00431AC5">
        <w:rPr>
          <w:noProof/>
        </w:rPr>
        <w:t>5</w:t>
      </w:r>
      <w:r>
        <w:rPr>
          <w:lang w:val="en-US"/>
        </w:rPr>
        <w:fldChar w:fldCharType="end"/>
      </w:r>
      <w:r w:rsidR="005F146E">
        <w:rPr>
          <w:lang w:val="en-US"/>
        </w:rPr>
        <w:t xml:space="preserve"> shows how</w:t>
      </w:r>
      <w:r w:rsidR="00356C52">
        <w:rPr>
          <w:lang w:val="en-US"/>
        </w:rPr>
        <w:t xml:space="preserve"> the slot property</w:t>
      </w:r>
      <w:r w:rsidR="005F146E">
        <w:rPr>
          <w:lang w:val="en-US"/>
        </w:rPr>
        <w:t xml:space="preserve"> </w:t>
      </w:r>
      <w:r w:rsidR="00356C52">
        <w:rPr>
          <w:lang w:val="en-US"/>
        </w:rPr>
        <w:t xml:space="preserve">for </w:t>
      </w:r>
      <w:r w:rsidR="00EC3F5C">
        <w:rPr>
          <w:lang w:val="en-US"/>
        </w:rPr>
        <w:t>each</w:t>
      </w:r>
      <w:r w:rsidR="00356C52">
        <w:rPr>
          <w:lang w:val="en-US"/>
        </w:rPr>
        <w:t xml:space="preserve"> </w:t>
      </w:r>
      <w:r w:rsidR="00514000">
        <w:rPr>
          <w:lang w:val="en-US"/>
        </w:rPr>
        <w:t>slot</w:t>
      </w:r>
      <w:r w:rsidR="00356C52">
        <w:rPr>
          <w:lang w:val="en-US"/>
        </w:rPr>
        <w:t xml:space="preserve"> can be attached to the</w:t>
      </w:r>
      <w:r w:rsidR="00514000">
        <w:rPr>
          <w:lang w:val="en-US"/>
        </w:rPr>
        <w:t xml:space="preserve"> </w:t>
      </w:r>
      <w:r w:rsidR="00916583">
        <w:rPr>
          <w:lang w:val="en-US"/>
        </w:rPr>
        <w:t xml:space="preserve">SFI </w:t>
      </w:r>
      <w:r w:rsidR="00514000">
        <w:rPr>
          <w:lang w:val="en-US"/>
        </w:rPr>
        <w:t>value</w:t>
      </w:r>
      <w:r w:rsidR="00356C52">
        <w:rPr>
          <w:lang w:val="en-US"/>
        </w:rPr>
        <w:t xml:space="preserve"> in order</w:t>
      </w:r>
      <w:r w:rsidR="00514000">
        <w:rPr>
          <w:lang w:val="en-US"/>
        </w:rPr>
        <w:t xml:space="preserve"> to indicate the type of LBT</w:t>
      </w:r>
      <w:r w:rsidR="00870957">
        <w:rPr>
          <w:lang w:val="en-US"/>
        </w:rPr>
        <w:t xml:space="preserve"> that can be performed for the switching points in that slot.</w:t>
      </w:r>
      <w:r w:rsidR="00EA5C81">
        <w:rPr>
          <w:lang w:val="en-US"/>
        </w:rPr>
        <w:t xml:space="preserve"> </w:t>
      </w:r>
      <w:r w:rsidR="002A4C21">
        <w:rPr>
          <w:lang w:val="en-US"/>
        </w:rPr>
        <w:t>For the e</w:t>
      </w:r>
      <w:r w:rsidR="00EA5C81">
        <w:rPr>
          <w:lang w:val="en-US"/>
        </w:rPr>
        <w:t>xample</w:t>
      </w:r>
      <w:r w:rsidR="004C3851">
        <w:rPr>
          <w:lang w:val="en-US"/>
        </w:rPr>
        <w:t>,</w:t>
      </w:r>
      <w:r w:rsidR="00535C79">
        <w:rPr>
          <w:lang w:val="en-US"/>
        </w:rPr>
        <w:t xml:space="preserve"> </w:t>
      </w:r>
      <w:r w:rsidR="004C3851">
        <w:rPr>
          <w:lang w:val="en-US"/>
        </w:rPr>
        <w:t xml:space="preserve">when the </w:t>
      </w:r>
      <w:r w:rsidR="00535C79" w:rsidRPr="0007560A">
        <w:rPr>
          <w:i/>
          <w:iCs/>
          <w:lang w:val="en-US"/>
        </w:rPr>
        <w:t>slot</w:t>
      </w:r>
      <w:r w:rsidR="00847E35" w:rsidRPr="0007560A">
        <w:rPr>
          <w:i/>
          <w:iCs/>
          <w:lang w:val="en-US"/>
        </w:rPr>
        <w:t>Fo</w:t>
      </w:r>
      <w:r w:rsidR="003E1BC5">
        <w:rPr>
          <w:i/>
          <w:iCs/>
          <w:lang w:val="en-US"/>
        </w:rPr>
        <w:t>r</w:t>
      </w:r>
      <w:r w:rsidR="00847E35" w:rsidRPr="0007560A">
        <w:rPr>
          <w:i/>
          <w:iCs/>
          <w:lang w:val="en-US"/>
        </w:rPr>
        <w:t>matCombination</w:t>
      </w:r>
      <w:r w:rsidR="00847E35">
        <w:rPr>
          <w:lang w:val="en-US"/>
        </w:rPr>
        <w:t xml:space="preserve"> in row one</w:t>
      </w:r>
      <w:r w:rsidR="004C3851">
        <w:rPr>
          <w:lang w:val="en-US"/>
        </w:rPr>
        <w:t xml:space="preserve"> is provided to the UE</w:t>
      </w:r>
      <w:r w:rsidR="00AC149F">
        <w:rPr>
          <w:lang w:val="en-US"/>
        </w:rPr>
        <w:t xml:space="preserve">, no LBT is </w:t>
      </w:r>
      <w:r w:rsidR="00DA1197">
        <w:rPr>
          <w:lang w:val="en-US"/>
        </w:rPr>
        <w:t>performed in slot-1</w:t>
      </w:r>
      <w:r w:rsidR="004C3851">
        <w:rPr>
          <w:lang w:val="en-US"/>
        </w:rPr>
        <w:t xml:space="preserve">. When the </w:t>
      </w:r>
      <w:r w:rsidR="004C3851" w:rsidRPr="0007560A">
        <w:rPr>
          <w:i/>
          <w:iCs/>
          <w:lang w:val="en-US"/>
        </w:rPr>
        <w:t>slotFo</w:t>
      </w:r>
      <w:r w:rsidR="004C3851">
        <w:rPr>
          <w:i/>
          <w:iCs/>
          <w:lang w:val="en-US"/>
        </w:rPr>
        <w:t>r</w:t>
      </w:r>
      <w:r w:rsidR="004C3851" w:rsidRPr="0007560A">
        <w:rPr>
          <w:i/>
          <w:iCs/>
          <w:lang w:val="en-US"/>
        </w:rPr>
        <w:t>matCombination</w:t>
      </w:r>
      <w:r w:rsidR="004C3851">
        <w:rPr>
          <w:lang w:val="en-US"/>
        </w:rPr>
        <w:t xml:space="preserve"> in row two is provided, a category 2</w:t>
      </w:r>
      <w:r w:rsidR="00DA1197">
        <w:rPr>
          <w:lang w:val="en-US"/>
        </w:rPr>
        <w:t xml:space="preserve"> </w:t>
      </w:r>
      <w:r w:rsidR="004C3851">
        <w:rPr>
          <w:lang w:val="en-US"/>
        </w:rPr>
        <w:t>LBT is performed in</w:t>
      </w:r>
      <w:r w:rsidR="00DA1197">
        <w:rPr>
          <w:lang w:val="en-US"/>
        </w:rPr>
        <w:t xml:space="preserve"> slot</w:t>
      </w:r>
      <w:r w:rsidR="004C3851">
        <w:rPr>
          <w:lang w:val="en-US"/>
        </w:rPr>
        <w:t>s</w:t>
      </w:r>
      <w:r w:rsidR="00DA1197">
        <w:rPr>
          <w:lang w:val="en-US"/>
        </w:rPr>
        <w:t xml:space="preserve"> 2</w:t>
      </w:r>
      <w:r w:rsidR="00CB66F6">
        <w:rPr>
          <w:lang w:val="en-US"/>
        </w:rPr>
        <w:t xml:space="preserve"> and 3 25us LBT </w:t>
      </w:r>
      <w:r w:rsidR="004C3851">
        <w:rPr>
          <w:lang w:val="en-US"/>
        </w:rPr>
        <w:t>for</w:t>
      </w:r>
      <w:r w:rsidR="00CB66F6">
        <w:rPr>
          <w:lang w:val="en-US"/>
        </w:rPr>
        <w:t xml:space="preserve"> the switching points.</w:t>
      </w:r>
      <w:r w:rsidR="00906ED2">
        <w:rPr>
          <w:lang w:val="en-US"/>
        </w:rPr>
        <w:t xml:space="preserve"> </w:t>
      </w:r>
    </w:p>
    <w:p w14:paraId="57EE9103" w14:textId="48AFBBE9" w:rsidR="00C611D2" w:rsidRPr="00AA50E5" w:rsidRDefault="0007560A" w:rsidP="00C611D2">
      <w:pPr>
        <w:pStyle w:val="BodyText"/>
        <w:rPr>
          <w:lang w:val="en-US"/>
        </w:rPr>
      </w:pPr>
      <w:r w:rsidRPr="006709B7">
        <w:rPr>
          <w:lang w:val="en-US"/>
        </w:rPr>
        <w:t>To</w:t>
      </w:r>
      <w:r w:rsidR="004C3851">
        <w:rPr>
          <w:lang w:val="en-US"/>
        </w:rPr>
        <w:t xml:space="preserve"> further</w:t>
      </w:r>
      <w:r w:rsidRPr="006709B7">
        <w:rPr>
          <w:lang w:val="en-US"/>
        </w:rPr>
        <w:t xml:space="preserve"> illustrate the idea let’s assume that</w:t>
      </w:r>
      <w:r w:rsidR="001114B5">
        <w:rPr>
          <w:lang w:val="en-US"/>
        </w:rPr>
        <w:t xml:space="preserve"> </w:t>
      </w:r>
      <w:r w:rsidR="001114B5" w:rsidRPr="00AA50E5">
        <w:rPr>
          <w:lang w:val="en-US"/>
        </w:rPr>
        <w:t>SFI1,0</w:t>
      </w:r>
      <w:r w:rsidR="000A1C22" w:rsidRPr="00AA50E5">
        <w:rPr>
          <w:lang w:val="en-US"/>
        </w:rPr>
        <w:t xml:space="preserve"> value</w:t>
      </w:r>
      <w:r w:rsidRPr="00AA50E5">
        <w:rPr>
          <w:lang w:val="en-US"/>
        </w:rPr>
        <w:t xml:space="preserve"> equals to</w:t>
      </w:r>
      <w:r w:rsidR="000A1C22" w:rsidRPr="00AA50E5">
        <w:rPr>
          <w:lang w:val="en-US"/>
        </w:rPr>
        <w:t xml:space="preserve"> 36, it indicates that the switching DL-UL switching occurs in symbol 4 in the slot and </w:t>
      </w:r>
      <w:r w:rsidR="00CB4191" w:rsidRPr="00AA50E5">
        <w:rPr>
          <w:lang w:val="en-US"/>
        </w:rPr>
        <w:t xml:space="preserve">slot property index </w:t>
      </w:r>
      <w:r w:rsidR="004C3851">
        <w:rPr>
          <w:lang w:val="en-US"/>
        </w:rPr>
        <w:t>0</w:t>
      </w:r>
      <w:r w:rsidR="00CB4191" w:rsidRPr="00AA50E5">
        <w:rPr>
          <w:lang w:val="en-US"/>
        </w:rPr>
        <w:t xml:space="preserve"> indicates that there is no LBT </w:t>
      </w:r>
      <w:r w:rsidR="00814B43" w:rsidRPr="00AA50E5">
        <w:rPr>
          <w:lang w:val="en-US"/>
        </w:rPr>
        <w:t>needed for this switching.</w:t>
      </w:r>
      <w:r w:rsidR="00C611D2" w:rsidRPr="00AA50E5">
        <w:rPr>
          <w:lang w:val="en-US"/>
        </w:rPr>
        <w:t xml:space="preserve"> Following shows the SFI value 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611D2" w:rsidRPr="00CA657A" w14:paraId="504A4309" w14:textId="77777777" w:rsidTr="006106A4">
        <w:trPr>
          <w:jc w:val="center"/>
        </w:trPr>
        <w:tc>
          <w:tcPr>
            <w:tcW w:w="1101" w:type="dxa"/>
            <w:shd w:val="clear" w:color="auto" w:fill="auto"/>
          </w:tcPr>
          <w:p w14:paraId="763DFA4D"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42B8507C"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F49045"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4F7E22"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CA6BABD" w14:textId="3F11851F"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56BD14" w14:textId="43BFAFF4"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068A2"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DAC375"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890040"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DB64AF" w14:textId="3875130E"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B27F78"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D0D5AA"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A1C802"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82A1E8"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8A2F6E" w14:textId="77777777" w:rsidR="00C611D2" w:rsidRPr="00CA657A" w:rsidRDefault="00C611D2" w:rsidP="006106A4">
            <w:pPr>
              <w:keepNext/>
              <w:keepLines/>
              <w:spacing w:after="0"/>
              <w:jc w:val="center"/>
              <w:rPr>
                <w:rFonts w:ascii="Arial" w:eastAsia="Batang" w:hAnsi="Arial"/>
                <w:sz w:val="18"/>
              </w:rPr>
            </w:pPr>
            <w:r w:rsidRPr="00CA657A">
              <w:rPr>
                <w:rFonts w:ascii="Arial" w:eastAsia="Batang" w:hAnsi="Arial"/>
                <w:sz w:val="18"/>
              </w:rPr>
              <w:t>U</w:t>
            </w:r>
          </w:p>
        </w:tc>
      </w:tr>
    </w:tbl>
    <w:p w14:paraId="3EF468CC" w14:textId="097E9388" w:rsidR="00A311C3" w:rsidRDefault="00A311C3" w:rsidP="005F0E86">
      <w:pPr>
        <w:pStyle w:val="BodyText"/>
        <w:rPr>
          <w:lang w:val="en-US"/>
        </w:rPr>
      </w:pPr>
    </w:p>
    <w:p w14:paraId="458C6E9A" w14:textId="1E170C35" w:rsidR="00DE2C1F" w:rsidRDefault="00DE2C1F" w:rsidP="005F0E86">
      <w:pPr>
        <w:pStyle w:val="BodyText"/>
        <w:rPr>
          <w:lang w:val="en-US"/>
        </w:rPr>
      </w:pPr>
      <w:r w:rsidRPr="00DE2C1F">
        <w:rPr>
          <w:lang w:val="en-US"/>
        </w:rPr>
        <w:t>If no index property is defined for a slot it simply follows the format provided by the SFI without any further action</w:t>
      </w:r>
      <w:r w:rsidR="003B1D35">
        <w:rPr>
          <w:lang w:val="en-US"/>
        </w:rPr>
        <w:t>.</w:t>
      </w:r>
      <w:r w:rsidR="00AB5AB9">
        <w:rPr>
          <w:lang w:val="en-US"/>
        </w:rPr>
        <w:t xml:space="preserve"> Also </w:t>
      </w:r>
      <w:r w:rsidR="004F6A24">
        <w:rPr>
          <w:lang w:val="en-US"/>
        </w:rPr>
        <w:t xml:space="preserve">it </w:t>
      </w:r>
      <w:r w:rsidR="007B7598">
        <w:rPr>
          <w:lang w:val="en-US"/>
        </w:rPr>
        <w:t xml:space="preserve">is </w:t>
      </w:r>
      <w:r w:rsidR="004F6A24">
        <w:rPr>
          <w:lang w:val="en-US"/>
        </w:rPr>
        <w:t xml:space="preserve">worth noting that </w:t>
      </w:r>
      <w:r w:rsidR="00546581">
        <w:rPr>
          <w:lang w:val="en-US"/>
        </w:rPr>
        <w:t xml:space="preserve">this structure can be used to </w:t>
      </w:r>
      <w:r w:rsidR="00C573C9">
        <w:rPr>
          <w:lang w:val="en-US"/>
        </w:rPr>
        <w:t xml:space="preserve">indicate more </w:t>
      </w:r>
      <w:r w:rsidR="0084227C">
        <w:rPr>
          <w:lang w:val="en-US"/>
        </w:rPr>
        <w:t>information/action</w:t>
      </w:r>
      <w:r w:rsidR="007B7598">
        <w:rPr>
          <w:lang w:val="en-US"/>
        </w:rPr>
        <w:t xml:space="preserve"> in the future</w:t>
      </w:r>
      <w:r w:rsidR="0084227C">
        <w:rPr>
          <w:lang w:val="en-US"/>
        </w:rPr>
        <w:t xml:space="preserve"> for each slot besides the </w:t>
      </w:r>
      <w:r w:rsidR="00C90133">
        <w:rPr>
          <w:lang w:val="en-US"/>
        </w:rPr>
        <w:t xml:space="preserve">information discussed here </w:t>
      </w:r>
      <w:r w:rsidR="0084227C">
        <w:rPr>
          <w:lang w:val="en-US"/>
        </w:rPr>
        <w:t>if needed.</w:t>
      </w:r>
      <w:r w:rsidR="00546581">
        <w:rPr>
          <w:lang w:val="en-US"/>
        </w:rPr>
        <w:t xml:space="preserve"> </w:t>
      </w:r>
    </w:p>
    <w:p w14:paraId="23A43ECC" w14:textId="753C0659" w:rsidR="008666EB" w:rsidRDefault="00741EAA" w:rsidP="00D41CC1">
      <w:pPr>
        <w:pStyle w:val="Proposal"/>
        <w:rPr>
          <w:lang w:val="en-US"/>
        </w:rPr>
      </w:pPr>
      <w:bookmarkStart w:id="43" w:name="_Toc16886767"/>
      <w:r>
        <w:rPr>
          <w:lang w:val="en-US"/>
        </w:rPr>
        <w:t>LBT categor</w:t>
      </w:r>
      <w:r w:rsidR="00851762">
        <w:rPr>
          <w:lang w:val="en-US"/>
        </w:rPr>
        <w:t xml:space="preserve">ies </w:t>
      </w:r>
      <w:r w:rsidR="003E7882">
        <w:rPr>
          <w:lang w:val="en-US"/>
        </w:rPr>
        <w:t xml:space="preserve">that can be performed within the COT </w:t>
      </w:r>
      <w:r w:rsidR="006709B7">
        <w:rPr>
          <w:lang w:val="en-US"/>
        </w:rPr>
        <w:t>are</w:t>
      </w:r>
      <w:r w:rsidR="003E7882">
        <w:rPr>
          <w:lang w:val="en-US"/>
        </w:rPr>
        <w:t xml:space="preserve"> informed to UEs using DCI format 2_0</w:t>
      </w:r>
      <w:bookmarkEnd w:id="43"/>
    </w:p>
    <w:p w14:paraId="38EA0002" w14:textId="39026BF3" w:rsidR="003E7882" w:rsidRDefault="00495304" w:rsidP="003E7882">
      <w:pPr>
        <w:pStyle w:val="Proposal"/>
        <w:numPr>
          <w:ilvl w:val="1"/>
          <w:numId w:val="2"/>
        </w:numPr>
        <w:rPr>
          <w:lang w:val="en-US"/>
        </w:rPr>
      </w:pPr>
      <w:bookmarkStart w:id="44" w:name="_Toc16886768"/>
      <w:r>
        <w:rPr>
          <w:lang w:val="en-US"/>
        </w:rPr>
        <w:t>Slot p</w:t>
      </w:r>
      <w:r w:rsidR="003640D9">
        <w:rPr>
          <w:lang w:val="en-US"/>
        </w:rPr>
        <w:t xml:space="preserve">roperty </w:t>
      </w:r>
      <w:r w:rsidR="00AB5AB9">
        <w:rPr>
          <w:lang w:val="en-US"/>
        </w:rPr>
        <w:t>indices</w:t>
      </w:r>
      <w:r>
        <w:rPr>
          <w:lang w:val="en-US"/>
        </w:rPr>
        <w:t xml:space="preserve"> are </w:t>
      </w:r>
      <w:r w:rsidR="00F83DC7">
        <w:rPr>
          <w:lang w:val="en-US"/>
        </w:rPr>
        <w:t>defined,</w:t>
      </w:r>
      <w:r>
        <w:rPr>
          <w:lang w:val="en-US"/>
        </w:rPr>
        <w:t xml:space="preserve"> </w:t>
      </w:r>
      <w:r w:rsidR="00F83DC7">
        <w:rPr>
          <w:lang w:val="en-US"/>
        </w:rPr>
        <w:t>and each</w:t>
      </w:r>
      <w:r w:rsidR="00F621A8">
        <w:rPr>
          <w:lang w:val="en-US"/>
        </w:rPr>
        <w:t xml:space="preserve"> index</w:t>
      </w:r>
      <w:r w:rsidR="00F83DC7">
        <w:rPr>
          <w:lang w:val="en-US"/>
        </w:rPr>
        <w:t xml:space="preserve"> is mapped to</w:t>
      </w:r>
      <w:r w:rsidR="00AB5AB9">
        <w:rPr>
          <w:lang w:val="en-US"/>
        </w:rPr>
        <w:t xml:space="preserve"> </w:t>
      </w:r>
      <w:r w:rsidR="00F83DC7">
        <w:rPr>
          <w:lang w:val="en-US"/>
        </w:rPr>
        <w:t xml:space="preserve">a </w:t>
      </w:r>
      <w:r w:rsidR="009B795F">
        <w:rPr>
          <w:lang w:val="en-US"/>
        </w:rPr>
        <w:t xml:space="preserve">different </w:t>
      </w:r>
      <w:r w:rsidR="00B06E21">
        <w:rPr>
          <w:lang w:val="en-US"/>
        </w:rPr>
        <w:t>LBT categor</w:t>
      </w:r>
      <w:r w:rsidR="00F83DC7">
        <w:rPr>
          <w:lang w:val="en-US"/>
        </w:rPr>
        <w:t>y</w:t>
      </w:r>
      <w:r w:rsidR="00FA7002">
        <w:rPr>
          <w:lang w:val="en-US"/>
        </w:rPr>
        <w:t xml:space="preserve"> </w:t>
      </w:r>
      <w:r w:rsidR="006E0090">
        <w:rPr>
          <w:lang w:val="en-US"/>
        </w:rPr>
        <w:t>as shown in</w:t>
      </w:r>
      <w:r w:rsidR="00D77BBD">
        <w:rPr>
          <w:lang w:val="en-US"/>
        </w:rPr>
        <w:t xml:space="preserve"> </w:t>
      </w:r>
      <w:r w:rsidR="0062697C">
        <w:rPr>
          <w:lang w:val="en-US"/>
        </w:rPr>
        <w:fldChar w:fldCharType="begin"/>
      </w:r>
      <w:r w:rsidR="0062697C">
        <w:rPr>
          <w:lang w:val="en-US"/>
        </w:rPr>
        <w:instrText xml:space="preserve"> REF _Ref16868065 \h </w:instrText>
      </w:r>
      <w:r w:rsidR="0062697C">
        <w:rPr>
          <w:lang w:val="en-US"/>
        </w:rPr>
      </w:r>
      <w:r w:rsidR="0062697C">
        <w:rPr>
          <w:lang w:val="en-US"/>
        </w:rPr>
        <w:fldChar w:fldCharType="separate"/>
      </w:r>
      <w:r w:rsidR="00431AC5">
        <w:t xml:space="preserve">Table </w:t>
      </w:r>
      <w:r w:rsidR="00431AC5">
        <w:rPr>
          <w:noProof/>
        </w:rPr>
        <w:t>4</w:t>
      </w:r>
      <w:r w:rsidR="0062697C">
        <w:rPr>
          <w:lang w:val="en-US"/>
        </w:rPr>
        <w:fldChar w:fldCharType="end"/>
      </w:r>
      <w:r w:rsidR="00F83DC7">
        <w:rPr>
          <w:lang w:val="en-US"/>
        </w:rPr>
        <w:t>.</w:t>
      </w:r>
      <w:bookmarkEnd w:id="44"/>
      <w:r w:rsidR="00B06E21">
        <w:rPr>
          <w:lang w:val="en-US"/>
        </w:rPr>
        <w:t xml:space="preserve"> </w:t>
      </w:r>
    </w:p>
    <w:p w14:paraId="0A5D23EF" w14:textId="6E178CD2" w:rsidR="009E19FE" w:rsidRPr="009A604C" w:rsidRDefault="002B1EC9" w:rsidP="009A604C">
      <w:pPr>
        <w:pStyle w:val="Proposal"/>
        <w:numPr>
          <w:ilvl w:val="1"/>
          <w:numId w:val="2"/>
        </w:numPr>
        <w:rPr>
          <w:lang w:val="en-US"/>
        </w:rPr>
      </w:pPr>
      <w:bookmarkStart w:id="45" w:name="_Toc16886769"/>
      <w:r>
        <w:rPr>
          <w:lang w:val="en-US"/>
        </w:rPr>
        <w:t>A slot property ind</w:t>
      </w:r>
      <w:r w:rsidR="004E6699">
        <w:rPr>
          <w:lang w:val="en-US"/>
        </w:rPr>
        <w:t>ex</w:t>
      </w:r>
      <w:r w:rsidR="006E0090">
        <w:rPr>
          <w:lang w:val="en-US"/>
        </w:rPr>
        <w:t xml:space="preserve"> corresponding to the LBT category that should be performed in a slot</w:t>
      </w:r>
      <w:r w:rsidR="00E02650">
        <w:rPr>
          <w:lang w:val="en-US"/>
        </w:rPr>
        <w:t>,</w:t>
      </w:r>
      <w:r w:rsidR="006E0090">
        <w:rPr>
          <w:lang w:val="en-US"/>
        </w:rPr>
        <w:t xml:space="preserve"> </w:t>
      </w:r>
      <w:r>
        <w:rPr>
          <w:lang w:val="en-US"/>
        </w:rPr>
        <w:t>is attached to</w:t>
      </w:r>
      <w:r w:rsidR="004E6699">
        <w:rPr>
          <w:lang w:val="en-US"/>
        </w:rPr>
        <w:t xml:space="preserve"> the</w:t>
      </w:r>
      <w:r>
        <w:rPr>
          <w:lang w:val="en-US"/>
        </w:rPr>
        <w:t xml:space="preserve"> </w:t>
      </w:r>
      <w:r w:rsidR="00065370">
        <w:rPr>
          <w:lang w:val="en-US"/>
        </w:rPr>
        <w:t>SFI value</w:t>
      </w:r>
      <w:r w:rsidR="00AB7828">
        <w:rPr>
          <w:lang w:val="en-US"/>
        </w:rPr>
        <w:t xml:space="preserve"> </w:t>
      </w:r>
      <w:r w:rsidR="009A604C">
        <w:rPr>
          <w:lang w:val="en-US"/>
        </w:rPr>
        <w:t>assigned to that slot</w:t>
      </w:r>
      <w:r w:rsidR="00AB7828">
        <w:rPr>
          <w:lang w:val="en-US"/>
        </w:rPr>
        <w:t>.</w:t>
      </w:r>
      <w:bookmarkEnd w:id="45"/>
    </w:p>
    <w:p w14:paraId="19901AE7" w14:textId="20D7DAE1" w:rsidR="001052FA" w:rsidRDefault="0062697C" w:rsidP="0062697C">
      <w:pPr>
        <w:pStyle w:val="Caption"/>
        <w:rPr>
          <w:lang w:val="en-US"/>
        </w:rPr>
      </w:pPr>
      <w:bookmarkStart w:id="46" w:name="_Ref16868249"/>
      <w:r>
        <w:t xml:space="preserve">Table </w:t>
      </w:r>
      <w:fldSimple w:instr=" SEQ Table \* ARABIC ">
        <w:r w:rsidR="00431AC5">
          <w:rPr>
            <w:noProof/>
          </w:rPr>
          <w:t>5</w:t>
        </w:r>
      </w:fldSimple>
      <w:bookmarkEnd w:id="46"/>
      <w:r w:rsidR="001052FA">
        <w:rPr>
          <w:lang w:val="en-US"/>
        </w:rPr>
        <w:t xml:space="preserve"> </w:t>
      </w:r>
      <w:r w:rsidR="00AC3718">
        <w:rPr>
          <w:lang w:val="en-US"/>
        </w:rPr>
        <w:t xml:space="preserve">Example of slot format </w:t>
      </w:r>
      <w:r w:rsidR="00614ED7">
        <w:rPr>
          <w:lang w:val="en-US"/>
        </w:rPr>
        <w:t xml:space="preserve">indicator configuration for </w:t>
      </w:r>
      <w:r w:rsidR="007D3B48">
        <w:rPr>
          <w:lang w:val="en-US"/>
        </w:rPr>
        <w:t>indication of LBT categories</w:t>
      </w:r>
      <w:r w:rsidR="00614ED7">
        <w:rPr>
          <w:lang w:val="en-US"/>
        </w:rPr>
        <w:t xml:space="preserve">. </w:t>
      </w:r>
      <w:r w:rsidR="00B73C34">
        <w:rPr>
          <w:lang w:val="en-US"/>
        </w:rPr>
        <w:t xml:space="preserve">different </w:t>
      </w:r>
      <w:r w:rsidR="008D6DF1">
        <w:rPr>
          <w:lang w:val="en-US"/>
        </w:rPr>
        <w:t xml:space="preserve">slot property </w:t>
      </w:r>
      <w:r w:rsidR="00B73C34">
        <w:rPr>
          <w:lang w:val="en-US"/>
        </w:rPr>
        <w:t>indicators are defined for different LBT categories and attached to the slot where that specific LBT category should be performed.</w:t>
      </w:r>
    </w:p>
    <w:tbl>
      <w:tblPr>
        <w:tblW w:w="9460" w:type="dxa"/>
        <w:tblCellMar>
          <w:left w:w="0" w:type="dxa"/>
          <w:right w:w="0" w:type="dxa"/>
        </w:tblCellMar>
        <w:tblLook w:val="0420" w:firstRow="1" w:lastRow="0" w:firstColumn="0" w:lastColumn="0" w:noHBand="0" w:noVBand="1"/>
      </w:tblPr>
      <w:tblGrid>
        <w:gridCol w:w="2542"/>
        <w:gridCol w:w="1984"/>
        <w:gridCol w:w="2127"/>
        <w:gridCol w:w="1932"/>
        <w:gridCol w:w="875"/>
      </w:tblGrid>
      <w:tr w:rsidR="001052FA" w:rsidRPr="001052FA" w14:paraId="2E9FE8B0" w14:textId="77777777" w:rsidTr="009D5A1A">
        <w:trPr>
          <w:trHeight w:val="220"/>
        </w:trPr>
        <w:tc>
          <w:tcPr>
            <w:tcW w:w="2542" w:type="dxa"/>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17E0976F" w14:textId="77777777" w:rsidR="001052FA" w:rsidRPr="001052FA" w:rsidRDefault="001052FA" w:rsidP="001052FA">
            <w:pPr>
              <w:overflowPunct/>
              <w:autoSpaceDE/>
              <w:autoSpaceDN/>
              <w:adjustRightInd/>
              <w:spacing w:after="0"/>
              <w:jc w:val="center"/>
              <w:textAlignment w:val="auto"/>
              <w:rPr>
                <w:rFonts w:ascii="Arial" w:eastAsia="Times New Roman" w:hAnsi="Arial" w:cs="Arial"/>
                <w:sz w:val="22"/>
                <w:szCs w:val="22"/>
                <w:lang w:val="sv-SE" w:eastAsia="sv-SE"/>
              </w:rPr>
            </w:pPr>
            <w:r w:rsidRPr="001052FA">
              <w:rPr>
                <w:rFonts w:ascii="Ericsson Hilda" w:eastAsia="Times New Roman" w:hAnsi="Ericsson Hilda" w:cs="Arial"/>
                <w:b/>
                <w:bCs/>
                <w:color w:val="FFFFFF"/>
                <w:kern w:val="24"/>
                <w:sz w:val="22"/>
                <w:szCs w:val="22"/>
                <w:lang w:val="sv-SE" w:eastAsia="sv-SE"/>
              </w:rPr>
              <w:t>Slot Format Combinations ID</w:t>
            </w:r>
          </w:p>
        </w:tc>
        <w:tc>
          <w:tcPr>
            <w:tcW w:w="1984" w:type="dxa"/>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1E1E38E5" w14:textId="77777777" w:rsidR="001052FA" w:rsidRPr="001052FA" w:rsidRDefault="001052FA" w:rsidP="001052FA">
            <w:pPr>
              <w:overflowPunct/>
              <w:autoSpaceDE/>
              <w:autoSpaceDN/>
              <w:adjustRightInd/>
              <w:spacing w:after="0"/>
              <w:jc w:val="center"/>
              <w:textAlignment w:val="auto"/>
              <w:rPr>
                <w:rFonts w:ascii="Arial" w:eastAsia="Times New Roman" w:hAnsi="Arial" w:cs="Arial"/>
                <w:sz w:val="22"/>
                <w:szCs w:val="22"/>
                <w:lang w:val="sv-SE" w:eastAsia="sv-SE"/>
              </w:rPr>
            </w:pPr>
            <w:r w:rsidRPr="001052FA">
              <w:rPr>
                <w:rFonts w:ascii="Ericsson Hilda" w:eastAsia="Times New Roman" w:hAnsi="Ericsson Hilda" w:cs="Arial"/>
                <w:b/>
                <w:bCs/>
                <w:color w:val="FFFFFF"/>
                <w:kern w:val="24"/>
                <w:sz w:val="22"/>
                <w:szCs w:val="22"/>
                <w:lang w:val="sv-SE" w:eastAsia="sv-SE"/>
              </w:rPr>
              <w:t>Slot</w:t>
            </w:r>
            <w:r w:rsidRPr="001052FA">
              <w:rPr>
                <w:rFonts w:ascii="Ericsson Hilda" w:eastAsia="Times New Roman" w:hAnsi="Ericsson Hilda" w:cs="Arial"/>
                <w:b/>
                <w:bCs/>
                <w:color w:val="FFFFFF"/>
                <w:kern w:val="24"/>
                <w:sz w:val="22"/>
                <w:szCs w:val="22"/>
                <w:lang w:val="en-US" w:eastAsia="sv-SE"/>
              </w:rPr>
              <w:t>-0</w:t>
            </w:r>
          </w:p>
          <w:p w14:paraId="08796C2E" w14:textId="77777777" w:rsidR="001052FA" w:rsidRPr="001052FA" w:rsidRDefault="001052FA" w:rsidP="001052FA">
            <w:pPr>
              <w:overflowPunct/>
              <w:autoSpaceDE/>
              <w:autoSpaceDN/>
              <w:adjustRightInd/>
              <w:spacing w:after="0"/>
              <w:jc w:val="center"/>
              <w:textAlignment w:val="auto"/>
              <w:rPr>
                <w:rFonts w:ascii="Arial" w:eastAsia="Times New Roman" w:hAnsi="Arial" w:cs="Arial"/>
                <w:sz w:val="22"/>
                <w:szCs w:val="22"/>
                <w:lang w:val="sv-SE" w:eastAsia="sv-SE"/>
              </w:rPr>
            </w:pPr>
            <w:r w:rsidRPr="001052FA">
              <w:rPr>
                <w:rFonts w:ascii="Ericsson Hilda" w:eastAsia="Times New Roman" w:hAnsi="Ericsson Hilda" w:cs="Arial"/>
                <w:b/>
                <w:bCs/>
                <w:color w:val="FFFFFF"/>
                <w:kern w:val="24"/>
                <w:sz w:val="22"/>
                <w:szCs w:val="22"/>
                <w:lang w:val="en-US" w:eastAsia="sv-SE"/>
              </w:rPr>
              <w:t>(Current Slot)</w:t>
            </w:r>
          </w:p>
        </w:tc>
        <w:tc>
          <w:tcPr>
            <w:tcW w:w="2127" w:type="dxa"/>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3537E306" w14:textId="77777777" w:rsidR="001052FA" w:rsidRPr="001052FA" w:rsidRDefault="001052FA" w:rsidP="001052FA">
            <w:pPr>
              <w:overflowPunct/>
              <w:autoSpaceDE/>
              <w:autoSpaceDN/>
              <w:adjustRightInd/>
              <w:spacing w:after="0"/>
              <w:jc w:val="center"/>
              <w:textAlignment w:val="auto"/>
              <w:rPr>
                <w:rFonts w:ascii="Arial" w:eastAsia="Times New Roman" w:hAnsi="Arial" w:cs="Arial"/>
                <w:sz w:val="22"/>
                <w:szCs w:val="22"/>
                <w:lang w:val="sv-SE" w:eastAsia="sv-SE"/>
              </w:rPr>
            </w:pPr>
            <w:r w:rsidRPr="001052FA">
              <w:rPr>
                <w:rFonts w:ascii="Ericsson Hilda" w:eastAsia="Times New Roman" w:hAnsi="Ericsson Hilda" w:cs="Arial"/>
                <w:b/>
                <w:bCs/>
                <w:color w:val="FFFFFF"/>
                <w:kern w:val="24"/>
                <w:sz w:val="22"/>
                <w:szCs w:val="22"/>
                <w:lang w:val="en-US" w:eastAsia="sv-SE"/>
              </w:rPr>
              <w:t>Slot-1</w:t>
            </w:r>
          </w:p>
        </w:tc>
        <w:tc>
          <w:tcPr>
            <w:tcW w:w="1932" w:type="dxa"/>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3C0D2D81" w14:textId="77777777" w:rsidR="001052FA" w:rsidRPr="001052FA" w:rsidRDefault="001052FA" w:rsidP="001052FA">
            <w:pPr>
              <w:overflowPunct/>
              <w:autoSpaceDE/>
              <w:autoSpaceDN/>
              <w:adjustRightInd/>
              <w:spacing w:after="0"/>
              <w:jc w:val="center"/>
              <w:textAlignment w:val="auto"/>
              <w:rPr>
                <w:rFonts w:ascii="Arial" w:eastAsia="Times New Roman" w:hAnsi="Arial" w:cs="Arial"/>
                <w:sz w:val="22"/>
                <w:szCs w:val="22"/>
                <w:lang w:val="sv-SE" w:eastAsia="sv-SE"/>
              </w:rPr>
            </w:pPr>
            <w:r w:rsidRPr="001052FA">
              <w:rPr>
                <w:rFonts w:ascii="Ericsson Hilda" w:eastAsia="Times New Roman" w:hAnsi="Ericsson Hilda" w:cs="Arial"/>
                <w:b/>
                <w:bCs/>
                <w:color w:val="FFFFFF"/>
                <w:kern w:val="24"/>
                <w:sz w:val="22"/>
                <w:szCs w:val="22"/>
                <w:lang w:val="en-US" w:eastAsia="sv-SE"/>
              </w:rPr>
              <w:t>Slot-2</w:t>
            </w:r>
          </w:p>
        </w:tc>
        <w:tc>
          <w:tcPr>
            <w:tcW w:w="0" w:type="auto"/>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60977CE9" w14:textId="77777777" w:rsidR="001052FA" w:rsidRPr="001052FA" w:rsidRDefault="001052FA" w:rsidP="001052FA">
            <w:pPr>
              <w:overflowPunct/>
              <w:autoSpaceDE/>
              <w:autoSpaceDN/>
              <w:adjustRightInd/>
              <w:spacing w:after="0"/>
              <w:jc w:val="center"/>
              <w:textAlignment w:val="auto"/>
              <w:rPr>
                <w:rFonts w:ascii="Arial" w:eastAsia="Times New Roman" w:hAnsi="Arial" w:cs="Arial"/>
                <w:sz w:val="22"/>
                <w:szCs w:val="22"/>
                <w:lang w:val="sv-SE" w:eastAsia="sv-SE"/>
              </w:rPr>
            </w:pPr>
            <w:r w:rsidRPr="001052FA">
              <w:rPr>
                <w:rFonts w:ascii="Ericsson Hilda" w:eastAsia="Times New Roman" w:hAnsi="Ericsson Hilda" w:cs="Arial"/>
                <w:b/>
                <w:bCs/>
                <w:color w:val="FFFFFF"/>
                <w:kern w:val="24"/>
                <w:sz w:val="22"/>
                <w:szCs w:val="22"/>
                <w:lang w:val="en-US" w:eastAsia="sv-SE"/>
              </w:rPr>
              <w:t>Slot-3</w:t>
            </w:r>
          </w:p>
        </w:tc>
      </w:tr>
      <w:tr w:rsidR="001052FA" w:rsidRPr="001052FA" w14:paraId="7E6D963E" w14:textId="77777777" w:rsidTr="009D5A1A">
        <w:trPr>
          <w:trHeight w:val="220"/>
        </w:trPr>
        <w:tc>
          <w:tcPr>
            <w:tcW w:w="2542"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47AE6CF2" w14:textId="77777777" w:rsidR="001052FA" w:rsidRPr="001052FA" w:rsidRDefault="001052FA" w:rsidP="001052FA">
            <w:pPr>
              <w:overflowPunct/>
              <w:autoSpaceDE/>
              <w:autoSpaceDN/>
              <w:adjustRightInd/>
              <w:spacing w:after="0"/>
              <w:jc w:val="center"/>
              <w:textAlignment w:val="auto"/>
              <w:rPr>
                <w:rFonts w:ascii="Arial" w:eastAsia="Times New Roman" w:hAnsi="Arial" w:cs="Arial"/>
                <w:sz w:val="22"/>
                <w:szCs w:val="22"/>
                <w:lang w:val="sv-SE" w:eastAsia="sv-SE"/>
              </w:rPr>
            </w:pPr>
            <w:r w:rsidRPr="001052FA">
              <w:rPr>
                <w:rFonts w:ascii="Ericsson Hilda" w:eastAsia="Times New Roman" w:hAnsi="Ericsson Hilda" w:cs="Arial"/>
                <w:color w:val="181818"/>
                <w:kern w:val="24"/>
                <w:sz w:val="22"/>
                <w:szCs w:val="22"/>
                <w:lang w:val="en-US" w:eastAsia="sv-SE"/>
              </w:rPr>
              <w:t>0</w:t>
            </w:r>
          </w:p>
        </w:tc>
        <w:tc>
          <w:tcPr>
            <w:tcW w:w="1984"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099664EC" w14:textId="5A232D76" w:rsidR="001052FA" w:rsidRPr="001052FA" w:rsidRDefault="00463F6D" w:rsidP="001052FA">
            <w:pPr>
              <w:overflowPunct/>
              <w:autoSpaceDE/>
              <w:autoSpaceDN/>
              <w:adjustRightInd/>
              <w:spacing w:after="0"/>
              <w:jc w:val="center"/>
              <w:textAlignment w:val="auto"/>
              <w:rPr>
                <w:rFonts w:ascii="Arial" w:eastAsia="Times New Roman" w:hAnsi="Arial" w:cs="Arial"/>
                <w:sz w:val="22"/>
                <w:szCs w:val="22"/>
                <w:lang w:val="sv-SE" w:eastAsia="sv-SE"/>
              </w:rPr>
            </w:pPr>
            <w:r w:rsidRPr="001052FA">
              <w:rPr>
                <w:rFonts w:ascii="Ericsson Hilda" w:eastAsia="Times New Roman" w:hAnsi="Ericsson Hilda" w:cs="Arial"/>
                <w:color w:val="181818"/>
                <w:kern w:val="24"/>
                <w:sz w:val="22"/>
                <w:szCs w:val="22"/>
                <w:lang w:val="sv-SE" w:eastAsia="sv-SE"/>
              </w:rPr>
              <w:t>SFI</w:t>
            </w:r>
            <w:r w:rsidRPr="001052FA">
              <w:rPr>
                <w:rFonts w:ascii="Ericsson Hilda" w:eastAsia="Times New Roman" w:hAnsi="Ericsson Hilda" w:cs="Arial"/>
                <w:color w:val="181818"/>
                <w:kern w:val="24"/>
                <w:position w:val="-9"/>
                <w:sz w:val="22"/>
                <w:szCs w:val="22"/>
                <w:vertAlign w:val="subscript"/>
                <w:lang w:val="sv-SE" w:eastAsia="sv-SE"/>
              </w:rPr>
              <w:t>0,0</w:t>
            </w:r>
            <w:r>
              <w:rPr>
                <w:rFonts w:ascii="Ericsson Hilda" w:eastAsia="Times New Roman" w:hAnsi="Ericsson Hilda" w:cs="Arial"/>
                <w:color w:val="181818"/>
                <w:kern w:val="24"/>
                <w:sz w:val="22"/>
                <w:szCs w:val="22"/>
                <w:lang w:val="sv-SE" w:eastAsia="sv-SE"/>
              </w:rPr>
              <w:t>+</w:t>
            </w:r>
            <w:r w:rsidR="003E1BC5">
              <w:rPr>
                <w:rFonts w:ascii="Ericsson Hilda" w:eastAsia="Times New Roman" w:hAnsi="Ericsson Hilda" w:cs="Arial"/>
                <w:b/>
                <w:bCs/>
                <w:color w:val="181818"/>
                <w:kern w:val="24"/>
                <w:sz w:val="22"/>
                <w:szCs w:val="22"/>
                <w:lang w:val="sv-SE" w:eastAsia="sv-SE"/>
              </w:rPr>
              <w:t>0</w:t>
            </w:r>
            <w:r w:rsidRPr="001052FA">
              <w:rPr>
                <w:rFonts w:ascii="Ericsson Hilda" w:eastAsia="Times New Roman" w:hAnsi="Ericsson Hilda" w:cs="Arial"/>
                <w:color w:val="181818"/>
                <w:kern w:val="24"/>
                <w:sz w:val="22"/>
                <w:szCs w:val="22"/>
                <w:lang w:val="sv-SE" w:eastAsia="sv-SE"/>
              </w:rPr>
              <w:t xml:space="preserve"> </w:t>
            </w:r>
          </w:p>
        </w:tc>
        <w:tc>
          <w:tcPr>
            <w:tcW w:w="2127"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69AA5F83" w14:textId="77777777" w:rsidR="001052FA" w:rsidRPr="001052FA" w:rsidRDefault="001052FA" w:rsidP="001052FA">
            <w:pPr>
              <w:overflowPunct/>
              <w:autoSpaceDE/>
              <w:autoSpaceDN/>
              <w:adjustRightInd/>
              <w:spacing w:after="0"/>
              <w:jc w:val="center"/>
              <w:textAlignment w:val="auto"/>
              <w:rPr>
                <w:rFonts w:ascii="Arial" w:eastAsia="Times New Roman" w:hAnsi="Arial" w:cs="Arial"/>
                <w:sz w:val="22"/>
                <w:szCs w:val="22"/>
                <w:lang w:val="sv-SE" w:eastAsia="sv-SE"/>
              </w:rPr>
            </w:pPr>
            <w:r w:rsidRPr="001052FA">
              <w:rPr>
                <w:rFonts w:ascii="Ericsson Hilda" w:eastAsia="Times New Roman" w:hAnsi="Ericsson Hilda" w:cs="Arial"/>
                <w:color w:val="181818"/>
                <w:kern w:val="24"/>
                <w:sz w:val="22"/>
                <w:szCs w:val="22"/>
                <w:lang w:val="sv-SE" w:eastAsia="sv-SE"/>
              </w:rPr>
              <w:t>SFI</w:t>
            </w:r>
            <w:r w:rsidRPr="001052FA">
              <w:rPr>
                <w:rFonts w:ascii="Ericsson Hilda" w:eastAsia="Times New Roman" w:hAnsi="Ericsson Hilda" w:cs="Arial"/>
                <w:color w:val="181818"/>
                <w:kern w:val="24"/>
                <w:position w:val="-9"/>
                <w:sz w:val="22"/>
                <w:szCs w:val="22"/>
                <w:vertAlign w:val="subscript"/>
                <w:lang w:val="sv-SE" w:eastAsia="sv-SE"/>
              </w:rPr>
              <w:t>0,1</w:t>
            </w:r>
          </w:p>
        </w:tc>
        <w:tc>
          <w:tcPr>
            <w:tcW w:w="1932"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481F241E" w14:textId="77777777" w:rsidR="001052FA" w:rsidRPr="001052FA" w:rsidRDefault="001052FA" w:rsidP="001052FA">
            <w:pPr>
              <w:overflowPunct/>
              <w:autoSpaceDE/>
              <w:autoSpaceDN/>
              <w:adjustRightInd/>
              <w:spacing w:after="0"/>
              <w:jc w:val="center"/>
              <w:textAlignment w:val="auto"/>
              <w:rPr>
                <w:rFonts w:ascii="Arial" w:eastAsia="Times New Roman" w:hAnsi="Arial" w:cs="Arial"/>
                <w:sz w:val="22"/>
                <w:szCs w:val="22"/>
                <w:lang w:val="sv-SE" w:eastAsia="sv-SE"/>
              </w:rPr>
            </w:pPr>
            <w:r w:rsidRPr="001052FA">
              <w:rPr>
                <w:rFonts w:ascii="Ericsson Hilda" w:eastAsia="Times New Roman" w:hAnsi="Ericsson Hilda" w:cs="Arial"/>
                <w:color w:val="181818"/>
                <w:kern w:val="24"/>
                <w:sz w:val="22"/>
                <w:szCs w:val="22"/>
                <w:lang w:val="sv-SE" w:eastAsia="sv-SE"/>
              </w:rPr>
              <w:t>SFI</w:t>
            </w:r>
            <w:r w:rsidRPr="001052FA">
              <w:rPr>
                <w:rFonts w:ascii="Ericsson Hilda" w:eastAsia="Times New Roman" w:hAnsi="Ericsson Hilda" w:cs="Arial"/>
                <w:color w:val="181818"/>
                <w:kern w:val="24"/>
                <w:position w:val="-9"/>
                <w:sz w:val="22"/>
                <w:szCs w:val="22"/>
                <w:vertAlign w:val="subscript"/>
                <w:lang w:val="sv-SE" w:eastAsia="sv-SE"/>
              </w:rPr>
              <w:t>0,2</w:t>
            </w:r>
          </w:p>
        </w:tc>
        <w:tc>
          <w:tcPr>
            <w:tcW w:w="0" w:type="auto"/>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6DB97294" w14:textId="12D9F3CE" w:rsidR="001052FA" w:rsidRPr="001052FA" w:rsidRDefault="00993F71" w:rsidP="001052FA">
            <w:pPr>
              <w:overflowPunct/>
              <w:autoSpaceDE/>
              <w:autoSpaceDN/>
              <w:adjustRightInd/>
              <w:spacing w:after="0"/>
              <w:jc w:val="center"/>
              <w:textAlignment w:val="auto"/>
              <w:rPr>
                <w:rFonts w:ascii="Arial" w:eastAsia="Times New Roman" w:hAnsi="Arial" w:cs="Arial"/>
                <w:sz w:val="22"/>
                <w:szCs w:val="22"/>
                <w:lang w:val="sv-SE" w:eastAsia="sv-SE"/>
              </w:rPr>
            </w:pPr>
            <m:oMathPara>
              <m:oMath>
                <m:r>
                  <w:rPr>
                    <w:rFonts w:ascii="Cambria Math" w:eastAsia="Times New Roman" w:hAnsi="Cambria Math" w:cs="Arial"/>
                    <w:color w:val="181818"/>
                    <w:kern w:val="24"/>
                  </w:rPr>
                  <m:t>⋯</m:t>
                </m:r>
              </m:oMath>
            </m:oMathPara>
          </w:p>
        </w:tc>
      </w:tr>
      <w:tr w:rsidR="001052FA" w:rsidRPr="001052FA" w14:paraId="1B9C0A48" w14:textId="77777777" w:rsidTr="009D5A1A">
        <w:trPr>
          <w:trHeight w:val="220"/>
        </w:trPr>
        <w:tc>
          <w:tcPr>
            <w:tcW w:w="2542"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4D29B9BD" w14:textId="77777777" w:rsidR="001052FA" w:rsidRPr="001052FA" w:rsidRDefault="001052FA" w:rsidP="001052FA">
            <w:pPr>
              <w:overflowPunct/>
              <w:autoSpaceDE/>
              <w:autoSpaceDN/>
              <w:adjustRightInd/>
              <w:spacing w:after="0"/>
              <w:jc w:val="center"/>
              <w:textAlignment w:val="auto"/>
              <w:rPr>
                <w:rFonts w:ascii="Ericsson Hilda" w:eastAsia="Times New Roman" w:hAnsi="Ericsson Hilda" w:cs="Arial"/>
                <w:color w:val="181818"/>
                <w:kern w:val="24"/>
                <w:sz w:val="22"/>
                <w:szCs w:val="22"/>
                <w:lang w:val="en-US" w:eastAsia="sv-SE"/>
              </w:rPr>
            </w:pPr>
            <m:oMathPara>
              <m:oMath>
                <m:r>
                  <w:rPr>
                    <w:rFonts w:ascii="Cambria Math" w:eastAsia="Times New Roman" w:hAnsi="Cambria Math" w:cs="Arial"/>
                    <w:color w:val="181818"/>
                    <w:kern w:val="24"/>
                    <w:sz w:val="22"/>
                    <w:szCs w:val="22"/>
                    <w:lang w:val="en-US" w:eastAsia="sv-SE"/>
                  </w:rPr>
                  <m:t>1</m:t>
                </m:r>
              </m:oMath>
            </m:oMathPara>
          </w:p>
        </w:tc>
        <w:tc>
          <w:tcPr>
            <w:tcW w:w="1984"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54C7732E" w14:textId="1293DDE3" w:rsidR="001052FA" w:rsidRPr="001052FA" w:rsidRDefault="001052FA" w:rsidP="001052FA">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w:r w:rsidRPr="001052FA">
              <w:rPr>
                <w:rFonts w:ascii="Ericsson Hilda" w:eastAsia="Times New Roman" w:hAnsi="Ericsson Hilda" w:cs="Arial"/>
                <w:color w:val="181818"/>
                <w:kern w:val="24"/>
                <w:sz w:val="22"/>
                <w:szCs w:val="22"/>
                <w:lang w:val="sv-SE" w:eastAsia="sv-SE"/>
              </w:rPr>
              <w:t>SFI</w:t>
            </w:r>
            <w:r w:rsidR="000C20AF">
              <w:rPr>
                <w:rFonts w:ascii="Ericsson Hilda" w:eastAsia="Times New Roman" w:hAnsi="Ericsson Hilda" w:cs="Arial"/>
                <w:color w:val="181818"/>
                <w:kern w:val="24"/>
                <w:position w:val="-9"/>
                <w:sz w:val="22"/>
                <w:szCs w:val="22"/>
                <w:vertAlign w:val="subscript"/>
                <w:lang w:val="sv-SE" w:eastAsia="sv-SE"/>
              </w:rPr>
              <w:t>1</w:t>
            </w:r>
            <w:r w:rsidRPr="001052FA">
              <w:rPr>
                <w:rFonts w:ascii="Ericsson Hilda" w:eastAsia="Times New Roman" w:hAnsi="Ericsson Hilda" w:cs="Arial"/>
                <w:color w:val="181818"/>
                <w:kern w:val="24"/>
                <w:position w:val="-9"/>
                <w:sz w:val="22"/>
                <w:szCs w:val="22"/>
                <w:vertAlign w:val="subscript"/>
                <w:lang w:val="sv-SE" w:eastAsia="sv-SE"/>
              </w:rPr>
              <w:t>,</w:t>
            </w:r>
            <w:r w:rsidR="000C20AF">
              <w:rPr>
                <w:rFonts w:ascii="Ericsson Hilda" w:eastAsia="Times New Roman" w:hAnsi="Ericsson Hilda" w:cs="Arial"/>
                <w:color w:val="181818"/>
                <w:kern w:val="24"/>
                <w:position w:val="-9"/>
                <w:sz w:val="22"/>
                <w:szCs w:val="22"/>
                <w:vertAlign w:val="subscript"/>
                <w:lang w:val="sv-SE" w:eastAsia="sv-SE"/>
              </w:rPr>
              <w:t>0</w:t>
            </w:r>
            <w:r w:rsidR="00E06BAE">
              <w:rPr>
                <w:rFonts w:ascii="Ericsson Hilda" w:eastAsia="Times New Roman" w:hAnsi="Ericsson Hilda" w:cs="Arial"/>
                <w:color w:val="181818"/>
                <w:kern w:val="24"/>
                <w:sz w:val="22"/>
                <w:szCs w:val="22"/>
                <w:lang w:val="sv-SE" w:eastAsia="sv-SE"/>
              </w:rPr>
              <w:t>+</w:t>
            </w:r>
            <w:r w:rsidR="003E1BC5">
              <w:rPr>
                <w:rFonts w:ascii="Ericsson Hilda" w:eastAsia="Times New Roman" w:hAnsi="Ericsson Hilda" w:cs="Arial"/>
                <w:b/>
                <w:bCs/>
                <w:color w:val="181818"/>
                <w:kern w:val="24"/>
                <w:sz w:val="22"/>
                <w:szCs w:val="22"/>
                <w:lang w:val="sv-SE" w:eastAsia="sv-SE"/>
              </w:rPr>
              <w:t>0</w:t>
            </w:r>
            <w:r w:rsidR="00E06BAE" w:rsidRPr="001052FA">
              <w:rPr>
                <w:rFonts w:ascii="Ericsson Hilda" w:eastAsia="Times New Roman" w:hAnsi="Ericsson Hilda" w:cs="Arial"/>
                <w:color w:val="181818"/>
                <w:kern w:val="24"/>
                <w:sz w:val="22"/>
                <w:szCs w:val="22"/>
                <w:lang w:val="sv-SE" w:eastAsia="sv-SE"/>
              </w:rPr>
              <w:t xml:space="preserve"> </w:t>
            </w:r>
          </w:p>
        </w:tc>
        <w:tc>
          <w:tcPr>
            <w:tcW w:w="2127"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029A9EA8" w14:textId="4DB41505" w:rsidR="001052FA" w:rsidRPr="001052FA" w:rsidRDefault="00463F6D" w:rsidP="001052FA">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w:r w:rsidRPr="001052FA">
              <w:rPr>
                <w:rFonts w:ascii="Ericsson Hilda" w:eastAsia="Times New Roman" w:hAnsi="Ericsson Hilda" w:cs="Arial"/>
                <w:color w:val="181818"/>
                <w:kern w:val="24"/>
                <w:sz w:val="22"/>
                <w:szCs w:val="22"/>
                <w:lang w:val="sv-SE" w:eastAsia="sv-SE"/>
              </w:rPr>
              <w:t>SFI</w:t>
            </w:r>
            <w:r>
              <w:rPr>
                <w:rFonts w:ascii="Ericsson Hilda" w:eastAsia="Times New Roman" w:hAnsi="Ericsson Hilda" w:cs="Arial"/>
                <w:color w:val="181818"/>
                <w:kern w:val="24"/>
                <w:position w:val="-9"/>
                <w:sz w:val="22"/>
                <w:szCs w:val="22"/>
                <w:vertAlign w:val="subscript"/>
                <w:lang w:val="sv-SE" w:eastAsia="sv-SE"/>
              </w:rPr>
              <w:t>1</w:t>
            </w:r>
            <w:r w:rsidRPr="001052FA">
              <w:rPr>
                <w:rFonts w:ascii="Ericsson Hilda" w:eastAsia="Times New Roman" w:hAnsi="Ericsson Hilda" w:cs="Arial"/>
                <w:color w:val="181818"/>
                <w:kern w:val="24"/>
                <w:position w:val="-9"/>
                <w:sz w:val="22"/>
                <w:szCs w:val="22"/>
                <w:vertAlign w:val="subscript"/>
                <w:lang w:val="sv-SE" w:eastAsia="sv-SE"/>
              </w:rPr>
              <w:t>,</w:t>
            </w:r>
            <w:r>
              <w:rPr>
                <w:rFonts w:ascii="Ericsson Hilda" w:eastAsia="Times New Roman" w:hAnsi="Ericsson Hilda" w:cs="Arial"/>
                <w:color w:val="181818"/>
                <w:kern w:val="24"/>
                <w:position w:val="-9"/>
                <w:sz w:val="22"/>
                <w:szCs w:val="22"/>
                <w:vertAlign w:val="subscript"/>
                <w:lang w:val="sv-SE" w:eastAsia="sv-SE"/>
              </w:rPr>
              <w:t>1</w:t>
            </w:r>
            <w:r>
              <w:rPr>
                <w:rFonts w:ascii="Ericsson Hilda" w:eastAsia="Times New Roman" w:hAnsi="Ericsson Hilda" w:cs="Arial"/>
                <w:color w:val="181818"/>
                <w:kern w:val="24"/>
                <w:sz w:val="22"/>
                <w:szCs w:val="22"/>
                <w:lang w:val="sv-SE" w:eastAsia="sv-SE"/>
              </w:rPr>
              <w:t>+</w:t>
            </w:r>
            <w:r w:rsidR="003E1BC5">
              <w:rPr>
                <w:rFonts w:ascii="Ericsson Hilda" w:eastAsia="Times New Roman" w:hAnsi="Ericsson Hilda" w:cs="Arial"/>
                <w:b/>
                <w:bCs/>
                <w:color w:val="181818"/>
                <w:kern w:val="24"/>
                <w:sz w:val="22"/>
                <w:szCs w:val="22"/>
                <w:lang w:val="sv-SE" w:eastAsia="sv-SE"/>
              </w:rPr>
              <w:t>1</w:t>
            </w:r>
          </w:p>
        </w:tc>
        <w:tc>
          <w:tcPr>
            <w:tcW w:w="1932"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00C53893" w14:textId="10974C91" w:rsidR="001052FA" w:rsidRPr="001052FA" w:rsidRDefault="001052FA" w:rsidP="001052FA">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w:r w:rsidRPr="001052FA">
              <w:rPr>
                <w:rFonts w:ascii="Ericsson Hilda" w:eastAsia="Times New Roman" w:hAnsi="Ericsson Hilda" w:cs="Arial"/>
                <w:color w:val="181818"/>
                <w:kern w:val="24"/>
                <w:sz w:val="22"/>
                <w:szCs w:val="22"/>
                <w:lang w:val="sv-SE" w:eastAsia="sv-SE"/>
              </w:rPr>
              <w:t>SFI</w:t>
            </w:r>
            <w:r w:rsidRPr="001052FA">
              <w:rPr>
                <w:rFonts w:ascii="Ericsson Hilda" w:eastAsia="Times New Roman" w:hAnsi="Ericsson Hilda" w:cs="Arial"/>
                <w:color w:val="181818"/>
                <w:kern w:val="24"/>
                <w:position w:val="-9"/>
                <w:sz w:val="22"/>
                <w:szCs w:val="22"/>
                <w:vertAlign w:val="subscript"/>
                <w:lang w:val="sv-SE" w:eastAsia="sv-SE"/>
              </w:rPr>
              <w:t>1,2</w:t>
            </w:r>
            <w:r w:rsidR="00E06BAE">
              <w:rPr>
                <w:rFonts w:ascii="Ericsson Hilda" w:eastAsia="Times New Roman" w:hAnsi="Ericsson Hilda" w:cs="Arial"/>
                <w:color w:val="181818"/>
                <w:kern w:val="24"/>
                <w:sz w:val="22"/>
                <w:szCs w:val="22"/>
                <w:lang w:val="sv-SE" w:eastAsia="sv-SE"/>
              </w:rPr>
              <w:t>+</w:t>
            </w:r>
            <w:r w:rsidR="003E1BC5">
              <w:rPr>
                <w:rFonts w:ascii="Ericsson Hilda" w:eastAsia="Times New Roman" w:hAnsi="Ericsson Hilda" w:cs="Arial"/>
                <w:b/>
                <w:bCs/>
                <w:color w:val="181818"/>
                <w:kern w:val="24"/>
                <w:sz w:val="22"/>
                <w:szCs w:val="22"/>
                <w:lang w:val="sv-SE" w:eastAsia="sv-SE"/>
              </w:rPr>
              <w:t>1</w:t>
            </w:r>
            <w:r w:rsidR="00E06BAE" w:rsidRPr="001052FA">
              <w:rPr>
                <w:rFonts w:ascii="Ericsson Hilda" w:eastAsia="Times New Roman" w:hAnsi="Ericsson Hilda" w:cs="Arial"/>
                <w:color w:val="181818"/>
                <w:kern w:val="24"/>
                <w:sz w:val="22"/>
                <w:szCs w:val="22"/>
                <w:lang w:val="sv-SE" w:eastAsia="sv-SE"/>
              </w:rPr>
              <w:t xml:space="preserve"> </w:t>
            </w:r>
          </w:p>
        </w:tc>
        <w:tc>
          <w:tcPr>
            <w:tcW w:w="0" w:type="auto"/>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291812F5" w14:textId="67DE55AE" w:rsidR="001052FA" w:rsidRPr="001052FA" w:rsidRDefault="00993F71" w:rsidP="001052FA">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m:oMathPara>
              <m:oMath>
                <m:r>
                  <w:rPr>
                    <w:rFonts w:ascii="Cambria Math" w:eastAsia="Times New Roman" w:hAnsi="Cambria Math" w:cs="Arial"/>
                    <w:color w:val="181818"/>
                    <w:kern w:val="24"/>
                  </w:rPr>
                  <m:t>⋯</m:t>
                </m:r>
              </m:oMath>
            </m:oMathPara>
          </w:p>
        </w:tc>
      </w:tr>
      <w:tr w:rsidR="00E71D58" w:rsidRPr="001052FA" w14:paraId="7DFD720C" w14:textId="77777777" w:rsidTr="009D5A1A">
        <w:trPr>
          <w:trHeight w:val="220"/>
        </w:trPr>
        <w:tc>
          <w:tcPr>
            <w:tcW w:w="2542"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77D330DB" w14:textId="03A4BA6B" w:rsidR="00E71D58" w:rsidRPr="001052FA" w:rsidRDefault="00E71D58" w:rsidP="00E71D58">
            <w:pPr>
              <w:overflowPunct/>
              <w:autoSpaceDE/>
              <w:autoSpaceDN/>
              <w:adjustRightInd/>
              <w:spacing w:after="0"/>
              <w:jc w:val="center"/>
              <w:textAlignment w:val="auto"/>
              <w:rPr>
                <w:rFonts w:ascii="Arial" w:eastAsia="Times New Roman" w:hAnsi="Arial"/>
                <w:color w:val="181818"/>
                <w:kern w:val="24"/>
                <w:sz w:val="22"/>
                <w:szCs w:val="22"/>
                <w:lang w:val="en-US" w:eastAsia="sv-SE"/>
              </w:rPr>
            </w:pPr>
            <m:oMathPara>
              <m:oMath>
                <m:r>
                  <w:rPr>
                    <w:rFonts w:ascii="Cambria Math" w:eastAsia="Times New Roman" w:hAnsi="Cambria Math" w:cs="Arial"/>
                    <w:color w:val="181818"/>
                    <w:kern w:val="24"/>
                    <w:sz w:val="22"/>
                    <w:szCs w:val="22"/>
                    <w:lang w:val="en-US" w:eastAsia="sv-SE"/>
                  </w:rPr>
                  <m:t>2</m:t>
                </m:r>
              </m:oMath>
            </m:oMathPara>
          </w:p>
        </w:tc>
        <w:tc>
          <w:tcPr>
            <w:tcW w:w="1984"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7C062E47" w14:textId="176111CC" w:rsidR="00E71D58" w:rsidRPr="001052FA" w:rsidRDefault="00E71D58" w:rsidP="00E71D58">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w:r w:rsidRPr="001052FA">
              <w:rPr>
                <w:rFonts w:ascii="Ericsson Hilda" w:eastAsia="Times New Roman" w:hAnsi="Ericsson Hilda" w:cs="Arial"/>
                <w:color w:val="181818"/>
                <w:kern w:val="24"/>
                <w:sz w:val="22"/>
                <w:szCs w:val="22"/>
                <w:lang w:val="sv-SE" w:eastAsia="sv-SE"/>
              </w:rPr>
              <w:t>SFI</w:t>
            </w:r>
            <w:r>
              <w:rPr>
                <w:rFonts w:ascii="Ericsson Hilda" w:eastAsia="Times New Roman" w:hAnsi="Ericsson Hilda" w:cs="Arial"/>
                <w:color w:val="181818"/>
                <w:kern w:val="24"/>
                <w:position w:val="-9"/>
                <w:sz w:val="22"/>
                <w:szCs w:val="22"/>
                <w:vertAlign w:val="subscript"/>
                <w:lang w:val="sv-SE" w:eastAsia="sv-SE"/>
              </w:rPr>
              <w:t>2</w:t>
            </w:r>
            <w:r w:rsidRPr="001052FA">
              <w:rPr>
                <w:rFonts w:ascii="Ericsson Hilda" w:eastAsia="Times New Roman" w:hAnsi="Ericsson Hilda" w:cs="Arial"/>
                <w:color w:val="181818"/>
                <w:kern w:val="24"/>
                <w:position w:val="-9"/>
                <w:sz w:val="22"/>
                <w:szCs w:val="22"/>
                <w:vertAlign w:val="subscript"/>
                <w:lang w:val="sv-SE" w:eastAsia="sv-SE"/>
              </w:rPr>
              <w:t>,</w:t>
            </w:r>
            <w:r>
              <w:rPr>
                <w:rFonts w:ascii="Ericsson Hilda" w:eastAsia="Times New Roman" w:hAnsi="Ericsson Hilda" w:cs="Arial"/>
                <w:color w:val="181818"/>
                <w:kern w:val="24"/>
                <w:position w:val="-9"/>
                <w:sz w:val="22"/>
                <w:szCs w:val="22"/>
                <w:vertAlign w:val="subscript"/>
                <w:lang w:val="sv-SE" w:eastAsia="sv-SE"/>
              </w:rPr>
              <w:t>0</w:t>
            </w:r>
            <w:r w:rsidR="00E06BAE">
              <w:rPr>
                <w:rFonts w:ascii="Ericsson Hilda" w:eastAsia="Times New Roman" w:hAnsi="Ericsson Hilda" w:cs="Arial"/>
                <w:color w:val="181818"/>
                <w:kern w:val="24"/>
                <w:sz w:val="22"/>
                <w:szCs w:val="22"/>
                <w:lang w:val="sv-SE" w:eastAsia="sv-SE"/>
              </w:rPr>
              <w:t>+</w:t>
            </w:r>
            <w:r w:rsidR="003E1BC5">
              <w:rPr>
                <w:rFonts w:ascii="Ericsson Hilda" w:eastAsia="Times New Roman" w:hAnsi="Ericsson Hilda" w:cs="Arial"/>
                <w:b/>
                <w:bCs/>
                <w:color w:val="181818"/>
                <w:kern w:val="24"/>
                <w:sz w:val="22"/>
                <w:szCs w:val="22"/>
                <w:lang w:val="sv-SE" w:eastAsia="sv-SE"/>
              </w:rPr>
              <w:t>1</w:t>
            </w:r>
            <w:r w:rsidR="00E06BAE" w:rsidRPr="001052FA">
              <w:rPr>
                <w:rFonts w:ascii="Ericsson Hilda" w:eastAsia="Times New Roman" w:hAnsi="Ericsson Hilda" w:cs="Arial"/>
                <w:color w:val="181818"/>
                <w:kern w:val="24"/>
                <w:sz w:val="22"/>
                <w:szCs w:val="22"/>
                <w:lang w:val="sv-SE" w:eastAsia="sv-SE"/>
              </w:rPr>
              <w:t xml:space="preserve"> </w:t>
            </w:r>
          </w:p>
        </w:tc>
        <w:tc>
          <w:tcPr>
            <w:tcW w:w="2127"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142A4937" w14:textId="01B65383" w:rsidR="00E71D58" w:rsidRPr="001052FA" w:rsidRDefault="00E71D58" w:rsidP="00E71D58">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w:r w:rsidRPr="001052FA">
              <w:rPr>
                <w:rFonts w:ascii="Ericsson Hilda" w:eastAsia="Times New Roman" w:hAnsi="Ericsson Hilda" w:cs="Arial"/>
                <w:color w:val="181818"/>
                <w:kern w:val="24"/>
                <w:sz w:val="22"/>
                <w:szCs w:val="22"/>
                <w:lang w:val="sv-SE" w:eastAsia="sv-SE"/>
              </w:rPr>
              <w:t>SFI</w:t>
            </w:r>
            <w:r>
              <w:rPr>
                <w:rFonts w:ascii="Ericsson Hilda" w:eastAsia="Times New Roman" w:hAnsi="Ericsson Hilda" w:cs="Arial"/>
                <w:color w:val="181818"/>
                <w:kern w:val="24"/>
                <w:position w:val="-9"/>
                <w:sz w:val="22"/>
                <w:szCs w:val="22"/>
                <w:vertAlign w:val="subscript"/>
                <w:lang w:val="sv-SE" w:eastAsia="sv-SE"/>
              </w:rPr>
              <w:t>2</w:t>
            </w:r>
            <w:r w:rsidRPr="001052FA">
              <w:rPr>
                <w:rFonts w:ascii="Ericsson Hilda" w:eastAsia="Times New Roman" w:hAnsi="Ericsson Hilda" w:cs="Arial"/>
                <w:color w:val="181818"/>
                <w:kern w:val="24"/>
                <w:position w:val="-9"/>
                <w:sz w:val="22"/>
                <w:szCs w:val="22"/>
                <w:vertAlign w:val="subscript"/>
                <w:lang w:val="sv-SE" w:eastAsia="sv-SE"/>
              </w:rPr>
              <w:t>,</w:t>
            </w:r>
            <w:r>
              <w:rPr>
                <w:rFonts w:ascii="Ericsson Hilda" w:eastAsia="Times New Roman" w:hAnsi="Ericsson Hilda" w:cs="Arial"/>
                <w:color w:val="181818"/>
                <w:kern w:val="24"/>
                <w:position w:val="-9"/>
                <w:sz w:val="22"/>
                <w:szCs w:val="22"/>
                <w:vertAlign w:val="subscript"/>
                <w:lang w:val="sv-SE" w:eastAsia="sv-SE"/>
              </w:rPr>
              <w:t>1</w:t>
            </w:r>
          </w:p>
        </w:tc>
        <w:tc>
          <w:tcPr>
            <w:tcW w:w="1932"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35477A5A" w14:textId="01F47EA7" w:rsidR="00E71D58" w:rsidRPr="001052FA" w:rsidRDefault="00E71D58" w:rsidP="00E71D58">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w:r w:rsidRPr="001052FA">
              <w:rPr>
                <w:rFonts w:ascii="Ericsson Hilda" w:eastAsia="Times New Roman" w:hAnsi="Ericsson Hilda" w:cs="Arial"/>
                <w:color w:val="181818"/>
                <w:kern w:val="24"/>
                <w:sz w:val="22"/>
                <w:szCs w:val="22"/>
                <w:lang w:val="sv-SE" w:eastAsia="sv-SE"/>
              </w:rPr>
              <w:t>SFI</w:t>
            </w:r>
            <w:r>
              <w:rPr>
                <w:rFonts w:ascii="Ericsson Hilda" w:eastAsia="Times New Roman" w:hAnsi="Ericsson Hilda" w:cs="Arial"/>
                <w:color w:val="181818"/>
                <w:kern w:val="24"/>
                <w:position w:val="-9"/>
                <w:sz w:val="22"/>
                <w:szCs w:val="22"/>
                <w:vertAlign w:val="subscript"/>
                <w:lang w:val="sv-SE" w:eastAsia="sv-SE"/>
              </w:rPr>
              <w:t>2</w:t>
            </w:r>
            <w:r w:rsidRPr="001052FA">
              <w:rPr>
                <w:rFonts w:ascii="Ericsson Hilda" w:eastAsia="Times New Roman" w:hAnsi="Ericsson Hilda" w:cs="Arial"/>
                <w:color w:val="181818"/>
                <w:kern w:val="24"/>
                <w:position w:val="-9"/>
                <w:sz w:val="22"/>
                <w:szCs w:val="22"/>
                <w:vertAlign w:val="subscript"/>
                <w:lang w:val="sv-SE" w:eastAsia="sv-SE"/>
              </w:rPr>
              <w:t>,</w:t>
            </w:r>
            <w:r w:rsidR="00973B50">
              <w:rPr>
                <w:rFonts w:ascii="Ericsson Hilda" w:eastAsia="Times New Roman" w:hAnsi="Ericsson Hilda" w:cs="Arial"/>
                <w:color w:val="181818"/>
                <w:kern w:val="24"/>
                <w:position w:val="-9"/>
                <w:sz w:val="22"/>
                <w:szCs w:val="22"/>
                <w:vertAlign w:val="subscript"/>
                <w:lang w:val="sv-SE" w:eastAsia="sv-SE"/>
              </w:rPr>
              <w:t>2</w:t>
            </w:r>
            <w:r>
              <w:rPr>
                <w:rFonts w:ascii="Ericsson Hilda" w:eastAsia="Times New Roman" w:hAnsi="Ericsson Hilda" w:cs="Arial"/>
                <w:color w:val="181818"/>
                <w:kern w:val="24"/>
                <w:sz w:val="22"/>
                <w:szCs w:val="22"/>
                <w:lang w:val="sv-SE" w:eastAsia="sv-SE"/>
              </w:rPr>
              <w:t>+</w:t>
            </w:r>
            <w:r w:rsidR="003E1BC5">
              <w:rPr>
                <w:rFonts w:ascii="Ericsson Hilda" w:eastAsia="Times New Roman" w:hAnsi="Ericsson Hilda" w:cs="Arial"/>
                <w:b/>
                <w:bCs/>
                <w:color w:val="181818"/>
                <w:kern w:val="24"/>
                <w:sz w:val="22"/>
                <w:szCs w:val="22"/>
                <w:lang w:val="sv-SE" w:eastAsia="sv-SE"/>
              </w:rPr>
              <w:t>2</w:t>
            </w:r>
            <w:r w:rsidR="00E06BAE" w:rsidRPr="001052FA">
              <w:rPr>
                <w:rFonts w:ascii="Ericsson Hilda" w:eastAsia="Times New Roman" w:hAnsi="Ericsson Hilda" w:cs="Arial"/>
                <w:color w:val="181818"/>
                <w:kern w:val="24"/>
                <w:sz w:val="22"/>
                <w:szCs w:val="22"/>
                <w:lang w:val="sv-SE" w:eastAsia="sv-SE"/>
              </w:rPr>
              <w:t xml:space="preserve"> </w:t>
            </w:r>
          </w:p>
        </w:tc>
        <w:tc>
          <w:tcPr>
            <w:tcW w:w="0" w:type="auto"/>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122DB174" w14:textId="1FE0C7F1" w:rsidR="00E71D58" w:rsidRPr="001052FA" w:rsidRDefault="00993F71" w:rsidP="00E71D58">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m:oMathPara>
              <m:oMath>
                <m:r>
                  <w:rPr>
                    <w:rFonts w:ascii="Cambria Math" w:eastAsia="Times New Roman" w:hAnsi="Cambria Math" w:cs="Arial"/>
                    <w:color w:val="181818"/>
                    <w:kern w:val="24"/>
                  </w:rPr>
                  <m:t>⋯</m:t>
                </m:r>
              </m:oMath>
            </m:oMathPara>
          </w:p>
        </w:tc>
      </w:tr>
      <w:tr w:rsidR="00E06BAE" w:rsidRPr="001052FA" w14:paraId="6C77B1CE" w14:textId="77777777" w:rsidTr="009D5A1A">
        <w:trPr>
          <w:trHeight w:val="220"/>
        </w:trPr>
        <w:tc>
          <w:tcPr>
            <w:tcW w:w="2542"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5BC95112" w14:textId="2232862A" w:rsidR="00E06BAE" w:rsidRDefault="00E06BAE" w:rsidP="00E06BAE">
            <w:pPr>
              <w:overflowPunct/>
              <w:autoSpaceDE/>
              <w:autoSpaceDN/>
              <w:adjustRightInd/>
              <w:spacing w:after="0"/>
              <w:jc w:val="center"/>
              <w:textAlignment w:val="auto"/>
              <w:rPr>
                <w:rFonts w:ascii="Arial" w:eastAsia="Times New Roman" w:hAnsi="Arial"/>
                <w:color w:val="181818"/>
                <w:kern w:val="24"/>
                <w:sz w:val="22"/>
                <w:szCs w:val="22"/>
                <w:lang w:val="en-US" w:eastAsia="sv-SE"/>
              </w:rPr>
            </w:pPr>
            <m:oMathPara>
              <m:oMath>
                <m:r>
                  <w:rPr>
                    <w:rFonts w:ascii="Cambria Math" w:hAnsi="Cambria Math" w:cs="Arial"/>
                    <w:color w:val="000000"/>
                    <w:kern w:val="24"/>
                    <w:lang w:val="sv-SE" w:eastAsia="sv-SE"/>
                  </w:rPr>
                  <m:t>⋮</m:t>
                </m:r>
              </m:oMath>
            </m:oMathPara>
          </w:p>
        </w:tc>
        <w:tc>
          <w:tcPr>
            <w:tcW w:w="1984"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55380A03" w14:textId="0751BDE5" w:rsidR="00E06BAE" w:rsidRPr="001052FA" w:rsidRDefault="00E06BAE" w:rsidP="00E06BAE">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m:oMathPara>
              <m:oMath>
                <m:r>
                  <w:rPr>
                    <w:rFonts w:ascii="Cambria Math" w:hAnsi="Cambria Math" w:cs="Arial"/>
                    <w:color w:val="000000"/>
                    <w:kern w:val="24"/>
                    <w:lang w:val="sv-SE" w:eastAsia="sv-SE"/>
                  </w:rPr>
                  <m:t>⋮</m:t>
                </m:r>
              </m:oMath>
            </m:oMathPara>
          </w:p>
        </w:tc>
        <w:tc>
          <w:tcPr>
            <w:tcW w:w="2127"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61E4F333" w14:textId="65EEBC5A" w:rsidR="00E06BAE" w:rsidRPr="001052FA" w:rsidRDefault="00E06BAE" w:rsidP="00E06BAE">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m:oMathPara>
              <m:oMath>
                <m:r>
                  <w:rPr>
                    <w:rFonts w:ascii="Cambria Math" w:hAnsi="Cambria Math" w:cs="Arial"/>
                    <w:color w:val="000000"/>
                    <w:kern w:val="24"/>
                    <w:lang w:val="sv-SE" w:eastAsia="sv-SE"/>
                  </w:rPr>
                  <m:t>⋮</m:t>
                </m:r>
              </m:oMath>
            </m:oMathPara>
          </w:p>
        </w:tc>
        <w:tc>
          <w:tcPr>
            <w:tcW w:w="1932" w:type="dxa"/>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2752CAC3" w14:textId="7FB17DBE" w:rsidR="00E06BAE" w:rsidRPr="001052FA" w:rsidRDefault="00E06BAE" w:rsidP="00E06BAE">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m:oMathPara>
              <m:oMath>
                <m:r>
                  <w:rPr>
                    <w:rFonts w:ascii="Cambria Math" w:hAnsi="Cambria Math" w:cs="Arial"/>
                    <w:color w:val="000000"/>
                    <w:kern w:val="24"/>
                    <w:lang w:val="sv-SE" w:eastAsia="sv-SE"/>
                  </w:rPr>
                  <m:t>⋮</m:t>
                </m:r>
              </m:oMath>
            </m:oMathPara>
          </w:p>
        </w:tc>
        <w:tc>
          <w:tcPr>
            <w:tcW w:w="0" w:type="auto"/>
            <w:tcBorders>
              <w:top w:val="single" w:sz="24"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tcPr>
          <w:p w14:paraId="2E396F83" w14:textId="5FBF9ED4" w:rsidR="00E06BAE" w:rsidRPr="001052FA" w:rsidRDefault="00E06BAE" w:rsidP="00E06BAE">
            <w:pPr>
              <w:overflowPunct/>
              <w:autoSpaceDE/>
              <w:autoSpaceDN/>
              <w:adjustRightInd/>
              <w:spacing w:after="0"/>
              <w:jc w:val="center"/>
              <w:textAlignment w:val="auto"/>
              <w:rPr>
                <w:rFonts w:ascii="Ericsson Hilda" w:eastAsia="Times New Roman" w:hAnsi="Ericsson Hilda" w:cs="Arial"/>
                <w:color w:val="181818"/>
                <w:kern w:val="24"/>
                <w:sz w:val="22"/>
                <w:szCs w:val="22"/>
                <w:lang w:val="sv-SE" w:eastAsia="sv-SE"/>
              </w:rPr>
            </w:pPr>
            <m:oMathPara>
              <m:oMath>
                <m:r>
                  <w:rPr>
                    <w:rFonts w:ascii="Cambria Math" w:hAnsi="Cambria Math" w:cs="Arial"/>
                    <w:color w:val="000000"/>
                    <w:kern w:val="24"/>
                    <w:lang w:val="sv-SE" w:eastAsia="sv-SE"/>
                  </w:rPr>
                  <m:t>⋱</m:t>
                </m:r>
              </m:oMath>
            </m:oMathPara>
          </w:p>
        </w:tc>
      </w:tr>
    </w:tbl>
    <w:p w14:paraId="20993F97" w14:textId="77777777" w:rsidR="001052FA" w:rsidRDefault="001052FA" w:rsidP="00A86FB1">
      <w:pPr>
        <w:pStyle w:val="BodyText"/>
        <w:rPr>
          <w:lang w:val="en-US"/>
        </w:rPr>
      </w:pPr>
    </w:p>
    <w:p w14:paraId="5AD738A0" w14:textId="54E35151" w:rsidR="00685650" w:rsidRDefault="00917C5E" w:rsidP="00A86FB1">
      <w:pPr>
        <w:pStyle w:val="BodyText"/>
        <w:rPr>
          <w:lang w:val="en-US"/>
        </w:rPr>
      </w:pPr>
      <w:r>
        <w:rPr>
          <w:lang w:val="en-US"/>
        </w:rPr>
        <w:t xml:space="preserve">Currently the number different slot formats that can be configured using a </w:t>
      </w:r>
      <w:r w:rsidRPr="00816EB6">
        <w:rPr>
          <w:i/>
          <w:iCs/>
          <w:lang w:val="en-US"/>
        </w:rPr>
        <w:t>slo</w:t>
      </w:r>
      <w:r w:rsidR="001F68FB" w:rsidRPr="00816EB6">
        <w:rPr>
          <w:i/>
          <w:iCs/>
          <w:lang w:val="en-US"/>
        </w:rPr>
        <w:t>tFormatCombination</w:t>
      </w:r>
      <w:r w:rsidR="001F68FB">
        <w:rPr>
          <w:lang w:val="en-US"/>
        </w:rPr>
        <w:t xml:space="preserve"> for a </w:t>
      </w:r>
      <w:r w:rsidR="0051554C">
        <w:rPr>
          <w:lang w:val="en-US"/>
        </w:rPr>
        <w:t>serving</w:t>
      </w:r>
      <w:r w:rsidR="001F68FB">
        <w:rPr>
          <w:lang w:val="en-US"/>
        </w:rPr>
        <w:t xml:space="preserve"> cell is up to 512. And g</w:t>
      </w:r>
      <w:r w:rsidR="00685650">
        <w:rPr>
          <w:lang w:val="en-US"/>
        </w:rPr>
        <w:t>iven the fact that the len</w:t>
      </w:r>
      <w:r w:rsidR="009F67B7">
        <w:rPr>
          <w:lang w:val="en-US"/>
        </w:rPr>
        <w:t xml:space="preserve">gth of the COT is up to 10 ms and in unlicensed band gNB only can provide the slot format for short period of the time due to the uncertainties </w:t>
      </w:r>
      <w:r w:rsidR="00E15B2F">
        <w:rPr>
          <w:lang w:val="en-US"/>
        </w:rPr>
        <w:t>channel access procedure</w:t>
      </w:r>
      <w:r w:rsidR="001F68FB">
        <w:rPr>
          <w:lang w:val="en-US"/>
        </w:rPr>
        <w:t>,</w:t>
      </w:r>
      <w:r w:rsidR="00F366A5">
        <w:rPr>
          <w:lang w:val="en-US"/>
        </w:rPr>
        <w:t xml:space="preserve"> </w:t>
      </w:r>
      <w:r w:rsidR="004D1423">
        <w:rPr>
          <w:lang w:val="en-US"/>
        </w:rPr>
        <w:t xml:space="preserve">large number of slot format combinations with different LBT categories </w:t>
      </w:r>
      <w:r w:rsidR="003B7893">
        <w:rPr>
          <w:lang w:val="en-US"/>
        </w:rPr>
        <w:t>for different slots can be configured for practical uses.</w:t>
      </w:r>
    </w:p>
    <w:p w14:paraId="39000BDA" w14:textId="7A1249E7" w:rsidR="00CE5A57" w:rsidRPr="005E0680" w:rsidRDefault="00852F3C" w:rsidP="00EA59A5">
      <w:pPr>
        <w:pStyle w:val="Heading2"/>
        <w:rPr>
          <w:lang w:val="en-US"/>
        </w:rPr>
      </w:pPr>
      <w:r>
        <w:rPr>
          <w:lang w:val="en-US"/>
        </w:rPr>
        <w:t>4.</w:t>
      </w:r>
      <w:r w:rsidR="00DE2CC9">
        <w:rPr>
          <w:lang w:val="en-US"/>
        </w:rPr>
        <w:t>3</w:t>
      </w:r>
      <w:r>
        <w:rPr>
          <w:lang w:val="en-US"/>
        </w:rPr>
        <w:tab/>
      </w:r>
      <w:r w:rsidR="00CE5A57">
        <w:rPr>
          <w:lang w:val="en-US"/>
        </w:rPr>
        <w:t>COT structure indication for frequency domain</w:t>
      </w:r>
    </w:p>
    <w:p w14:paraId="4779D951" w14:textId="147BC5D5" w:rsidR="002677E1" w:rsidRDefault="006709B7" w:rsidP="007A13E2">
      <w:pPr>
        <w:pStyle w:val="BodyText"/>
        <w:rPr>
          <w:lang w:val="en-US"/>
        </w:rPr>
      </w:pPr>
      <w:r>
        <w:rPr>
          <w:lang w:val="en-US"/>
        </w:rPr>
        <w:t>I</w:t>
      </w:r>
      <w:r w:rsidR="00471552" w:rsidRPr="005E0680">
        <w:rPr>
          <w:lang w:val="en-US"/>
        </w:rPr>
        <w:t>t is expected that NR-U will support transmission over a wide bandwidth (&gt; 20 MHz)</w:t>
      </w:r>
      <w:r w:rsidR="002677E1">
        <w:rPr>
          <w:lang w:val="en-US"/>
        </w:rPr>
        <w:t xml:space="preserve">, and the following agreement </w:t>
      </w:r>
      <w:r w:rsidR="00B34888">
        <w:rPr>
          <w:lang w:val="en-US"/>
        </w:rPr>
        <w:t xml:space="preserve">and conclusion </w:t>
      </w:r>
      <w:r w:rsidR="002677E1">
        <w:rPr>
          <w:lang w:val="en-US"/>
        </w:rPr>
        <w:t xml:space="preserve">was reached in previous meeting in this regard </w:t>
      </w:r>
      <w:r w:rsidR="002677E1">
        <w:rPr>
          <w:lang w:val="en-US" w:bidi="fa-IR"/>
        </w:rPr>
        <w:fldChar w:fldCharType="begin"/>
      </w:r>
      <w:r w:rsidR="002677E1">
        <w:rPr>
          <w:lang w:val="en-US"/>
        </w:rPr>
        <w:instrText xml:space="preserve"> REF _Ref14696990 \r \h </w:instrText>
      </w:r>
      <w:r w:rsidR="002677E1">
        <w:rPr>
          <w:lang w:val="en-US" w:bidi="fa-IR"/>
        </w:rPr>
      </w:r>
      <w:r w:rsidR="002677E1">
        <w:rPr>
          <w:lang w:val="en-US" w:bidi="fa-IR"/>
        </w:rPr>
        <w:fldChar w:fldCharType="separate"/>
      </w:r>
      <w:r w:rsidR="00431AC5">
        <w:rPr>
          <w:lang w:val="en-US"/>
        </w:rPr>
        <w:t>[13]</w:t>
      </w:r>
      <w:r w:rsidR="002677E1">
        <w:rPr>
          <w:lang w:val="en-US" w:bidi="fa-IR"/>
        </w:rPr>
        <w:fldChar w:fldCharType="end"/>
      </w:r>
      <w:r w:rsidR="00D750B2" w:rsidRPr="005E0680">
        <w:rPr>
          <w:lang w:val="en-US"/>
        </w:rPr>
        <w:t>.</w:t>
      </w:r>
    </w:p>
    <w:p w14:paraId="720255E2" w14:textId="6A0EA254" w:rsidR="002677E1" w:rsidRDefault="002677E1" w:rsidP="002677E1">
      <w:pPr>
        <w:overflowPunct/>
        <w:autoSpaceDE/>
        <w:autoSpaceDN/>
        <w:adjustRightInd/>
        <w:spacing w:after="0"/>
        <w:textAlignment w:val="auto"/>
        <w:rPr>
          <w:rFonts w:ascii="Times" w:eastAsia="Batang" w:hAnsi="Times"/>
          <w:szCs w:val="24"/>
          <w:lang w:eastAsia="en-US"/>
        </w:rPr>
      </w:pPr>
      <w:r w:rsidRPr="005375F0">
        <w:rPr>
          <w:rFonts w:ascii="Times" w:eastAsia="Batang" w:hAnsi="Times"/>
          <w:szCs w:val="24"/>
          <w:highlight w:val="green"/>
          <w:u w:val="single"/>
          <w:lang w:eastAsia="en-US"/>
        </w:rPr>
        <w:t>Agreement</w:t>
      </w:r>
      <w:r w:rsidRPr="002677E1">
        <w:rPr>
          <w:rFonts w:ascii="Times" w:eastAsia="Batang" w:hAnsi="Times"/>
          <w:szCs w:val="24"/>
          <w:highlight w:val="green"/>
          <w:lang w:eastAsia="en-US"/>
        </w:rPr>
        <w:t>:</w:t>
      </w:r>
    </w:p>
    <w:p w14:paraId="4E765764" w14:textId="77777777" w:rsidR="00D20BA6" w:rsidRPr="002677E1" w:rsidRDefault="00D20BA6" w:rsidP="002677E1">
      <w:pPr>
        <w:overflowPunct/>
        <w:autoSpaceDE/>
        <w:autoSpaceDN/>
        <w:adjustRightInd/>
        <w:spacing w:after="0"/>
        <w:textAlignment w:val="auto"/>
        <w:rPr>
          <w:rFonts w:ascii="Times" w:eastAsia="Batang" w:hAnsi="Times"/>
          <w:szCs w:val="24"/>
          <w:lang w:eastAsia="en-US"/>
        </w:rPr>
      </w:pPr>
    </w:p>
    <w:p w14:paraId="5EA5C43F" w14:textId="77777777" w:rsidR="002677E1" w:rsidRPr="00A106B4" w:rsidRDefault="002677E1" w:rsidP="002677E1">
      <w:pPr>
        <w:overflowPunct/>
        <w:autoSpaceDE/>
        <w:autoSpaceDN/>
        <w:adjustRightInd/>
        <w:spacing w:after="160" w:line="252" w:lineRule="auto"/>
        <w:contextualSpacing/>
        <w:textAlignment w:val="auto"/>
        <w:rPr>
          <w:rFonts w:ascii="Calibri" w:eastAsia="Batang" w:hAnsi="Calibri"/>
          <w:i/>
          <w:iCs/>
          <w:sz w:val="24"/>
          <w:szCs w:val="24"/>
          <w:lang w:val="en-US" w:eastAsia="x-none"/>
        </w:rPr>
      </w:pPr>
      <w:r w:rsidRPr="00A106B4">
        <w:rPr>
          <w:rFonts w:ascii="Times" w:eastAsia="Batang" w:hAnsi="Times"/>
          <w:i/>
          <w:iCs/>
          <w:szCs w:val="24"/>
          <w:lang w:eastAsia="ko-KR"/>
        </w:rPr>
        <w:t>When GC-PDCCH is configured, explicit indication via GC-PDCCH is supported as a mechanism to inform the UE that one or more carriers and/or LBT bandwidths are not available or available for DL reception, at least for slot(s) that are not at the beginning of DL transmission burst.</w:t>
      </w:r>
    </w:p>
    <w:p w14:paraId="18669C8D" w14:textId="77777777" w:rsidR="002677E1" w:rsidRPr="00A106B4" w:rsidRDefault="002677E1" w:rsidP="002951EE">
      <w:pPr>
        <w:numPr>
          <w:ilvl w:val="0"/>
          <w:numId w:val="24"/>
        </w:numPr>
        <w:overflowPunct/>
        <w:autoSpaceDE/>
        <w:autoSpaceDN/>
        <w:adjustRightInd/>
        <w:spacing w:after="160" w:line="252" w:lineRule="auto"/>
        <w:ind w:left="360"/>
        <w:contextualSpacing/>
        <w:textAlignment w:val="auto"/>
        <w:rPr>
          <w:rFonts w:ascii="Calibri" w:eastAsia="Batang" w:hAnsi="Calibri"/>
          <w:i/>
          <w:iCs/>
          <w:szCs w:val="24"/>
          <w:lang w:eastAsia="zh-CN"/>
        </w:rPr>
      </w:pPr>
      <w:r w:rsidRPr="00A106B4">
        <w:rPr>
          <w:rFonts w:ascii="Times" w:eastAsia="Batang" w:hAnsi="Times"/>
          <w:i/>
          <w:iCs/>
          <w:szCs w:val="24"/>
          <w:highlight w:val="yellow"/>
          <w:lang w:eastAsia="ko-KR"/>
        </w:rPr>
        <w:t>FFS</w:t>
      </w:r>
      <w:r w:rsidRPr="00A106B4">
        <w:rPr>
          <w:rFonts w:ascii="Times" w:eastAsia="Batang" w:hAnsi="Times"/>
          <w:i/>
          <w:iCs/>
          <w:szCs w:val="24"/>
          <w:lang w:eastAsia="ko-KR"/>
        </w:rPr>
        <w:t xml:space="preserve">: Signalling details of the indication, including e.g., </w:t>
      </w:r>
      <w:r w:rsidRPr="00A106B4">
        <w:rPr>
          <w:rFonts w:ascii="Times" w:eastAsia="Batang" w:hAnsi="Times"/>
          <w:i/>
          <w:iCs/>
          <w:szCs w:val="24"/>
          <w:highlight w:val="yellow"/>
          <w:lang w:eastAsia="ko-KR"/>
        </w:rPr>
        <w:t>the time domain validity of the indication</w:t>
      </w:r>
    </w:p>
    <w:p w14:paraId="339083C6" w14:textId="77777777" w:rsidR="002677E1" w:rsidRPr="00A106B4" w:rsidRDefault="002677E1" w:rsidP="002951EE">
      <w:pPr>
        <w:numPr>
          <w:ilvl w:val="0"/>
          <w:numId w:val="24"/>
        </w:numPr>
        <w:overflowPunct/>
        <w:autoSpaceDE/>
        <w:autoSpaceDN/>
        <w:adjustRightInd/>
        <w:spacing w:after="160" w:line="252" w:lineRule="auto"/>
        <w:ind w:left="360"/>
        <w:contextualSpacing/>
        <w:textAlignment w:val="auto"/>
        <w:rPr>
          <w:rFonts w:ascii="Times" w:eastAsia="Batang" w:hAnsi="Times"/>
          <w:i/>
          <w:iCs/>
          <w:szCs w:val="24"/>
          <w:lang w:eastAsia="ko-KR"/>
        </w:rPr>
      </w:pPr>
      <w:r w:rsidRPr="00A106B4">
        <w:rPr>
          <w:rFonts w:ascii="Times" w:eastAsia="Batang" w:hAnsi="Times"/>
          <w:i/>
          <w:iCs/>
          <w:szCs w:val="24"/>
          <w:highlight w:val="yellow"/>
          <w:lang w:eastAsia="ko-KR"/>
        </w:rPr>
        <w:t>FFS</w:t>
      </w:r>
      <w:r w:rsidRPr="00A106B4">
        <w:rPr>
          <w:rFonts w:ascii="Times" w:eastAsia="Batang" w:hAnsi="Times"/>
          <w:i/>
          <w:iCs/>
          <w:szCs w:val="24"/>
          <w:lang w:eastAsia="ko-KR"/>
        </w:rPr>
        <w:t xml:space="preserve">: Whether and how to support the mechanism </w:t>
      </w:r>
      <w:r w:rsidRPr="00A106B4">
        <w:rPr>
          <w:rFonts w:ascii="Times" w:eastAsia="Batang" w:hAnsi="Times"/>
          <w:i/>
          <w:iCs/>
          <w:szCs w:val="24"/>
          <w:highlight w:val="yellow"/>
          <w:lang w:eastAsia="ko-KR"/>
        </w:rPr>
        <w:t>at the beginning of DL transmission burst</w:t>
      </w:r>
    </w:p>
    <w:p w14:paraId="4A1BFF66" w14:textId="77777777" w:rsidR="002677E1" w:rsidRPr="00A106B4" w:rsidRDefault="002677E1" w:rsidP="002951EE">
      <w:pPr>
        <w:numPr>
          <w:ilvl w:val="0"/>
          <w:numId w:val="24"/>
        </w:numPr>
        <w:overflowPunct/>
        <w:autoSpaceDE/>
        <w:autoSpaceDN/>
        <w:adjustRightInd/>
        <w:spacing w:after="160" w:line="252" w:lineRule="auto"/>
        <w:ind w:left="360"/>
        <w:contextualSpacing/>
        <w:textAlignment w:val="auto"/>
        <w:rPr>
          <w:rFonts w:ascii="Times" w:eastAsia="Batang" w:hAnsi="Times"/>
          <w:i/>
          <w:iCs/>
          <w:szCs w:val="24"/>
          <w:lang w:eastAsia="ko-KR"/>
        </w:rPr>
      </w:pPr>
      <w:r w:rsidRPr="00A106B4">
        <w:rPr>
          <w:rFonts w:ascii="Times" w:eastAsia="Batang" w:hAnsi="Times"/>
          <w:i/>
          <w:iCs/>
          <w:szCs w:val="24"/>
          <w:highlight w:val="yellow"/>
          <w:lang w:eastAsia="ko-KR"/>
        </w:rPr>
        <w:t>FFS</w:t>
      </w:r>
      <w:r w:rsidRPr="00A106B4">
        <w:rPr>
          <w:rFonts w:ascii="Times" w:eastAsia="Batang" w:hAnsi="Times"/>
          <w:i/>
          <w:iCs/>
          <w:szCs w:val="24"/>
          <w:lang w:eastAsia="ko-KR"/>
        </w:rPr>
        <w:t xml:space="preserve">: Whether and how to handle the case when </w:t>
      </w:r>
      <w:r w:rsidRPr="00A106B4">
        <w:rPr>
          <w:rFonts w:ascii="Times" w:eastAsia="Batang" w:hAnsi="Times"/>
          <w:i/>
          <w:iCs/>
          <w:szCs w:val="24"/>
          <w:highlight w:val="yellow"/>
          <w:lang w:eastAsia="ko-KR"/>
        </w:rPr>
        <w:t>GC-PDCCH is not configured or not received</w:t>
      </w:r>
      <w:r w:rsidRPr="00A106B4">
        <w:rPr>
          <w:rFonts w:ascii="Times" w:eastAsia="Batang" w:hAnsi="Times"/>
          <w:i/>
          <w:iCs/>
          <w:szCs w:val="24"/>
          <w:lang w:eastAsia="ko-KR"/>
        </w:rPr>
        <w:t xml:space="preserve"> by the UE</w:t>
      </w:r>
    </w:p>
    <w:p w14:paraId="4133085E" w14:textId="77777777" w:rsidR="00B34888" w:rsidRDefault="00B34888" w:rsidP="002677E1">
      <w:pPr>
        <w:overflowPunct/>
        <w:autoSpaceDE/>
        <w:autoSpaceDN/>
        <w:adjustRightInd/>
        <w:spacing w:after="0"/>
        <w:textAlignment w:val="auto"/>
        <w:rPr>
          <w:rFonts w:ascii="Times" w:eastAsia="Batang" w:hAnsi="Times"/>
          <w:szCs w:val="24"/>
          <w:u w:val="single"/>
          <w:lang w:eastAsia="en-US"/>
        </w:rPr>
      </w:pPr>
    </w:p>
    <w:p w14:paraId="2F21B5EF" w14:textId="508CB61B" w:rsidR="002677E1" w:rsidRPr="002677E1" w:rsidRDefault="002677E1" w:rsidP="002677E1">
      <w:pPr>
        <w:overflowPunct/>
        <w:autoSpaceDE/>
        <w:autoSpaceDN/>
        <w:adjustRightInd/>
        <w:spacing w:after="0"/>
        <w:textAlignment w:val="auto"/>
        <w:rPr>
          <w:rFonts w:ascii="Times" w:eastAsia="Batang" w:hAnsi="Times"/>
          <w:szCs w:val="24"/>
          <w:u w:val="single"/>
          <w:lang w:eastAsia="en-US"/>
        </w:rPr>
      </w:pPr>
      <w:r w:rsidRPr="00B34888">
        <w:rPr>
          <w:rFonts w:ascii="Times" w:eastAsia="Batang" w:hAnsi="Times"/>
          <w:szCs w:val="24"/>
          <w:highlight w:val="yellow"/>
          <w:u w:val="single"/>
          <w:lang w:eastAsia="en-US"/>
        </w:rPr>
        <w:t>Conclusion</w:t>
      </w:r>
      <w:r w:rsidRPr="005375F0">
        <w:rPr>
          <w:rFonts w:ascii="Times" w:eastAsia="Batang" w:hAnsi="Times"/>
          <w:szCs w:val="24"/>
          <w:highlight w:val="yellow"/>
          <w:lang w:eastAsia="en-US"/>
        </w:rPr>
        <w:t>:</w:t>
      </w:r>
    </w:p>
    <w:p w14:paraId="792FE0B0" w14:textId="5CF900B8" w:rsidR="00EE30E8" w:rsidRPr="00A106B4" w:rsidRDefault="002677E1" w:rsidP="00B34888">
      <w:pPr>
        <w:overflowPunct/>
        <w:autoSpaceDE/>
        <w:autoSpaceDN/>
        <w:adjustRightInd/>
        <w:spacing w:after="160" w:line="252" w:lineRule="auto"/>
        <w:contextualSpacing/>
        <w:textAlignment w:val="auto"/>
        <w:rPr>
          <w:rFonts w:ascii="Calibri" w:eastAsia="Batang" w:hAnsi="Calibri"/>
          <w:i/>
          <w:iCs/>
          <w:lang w:eastAsia="zh-CN"/>
        </w:rPr>
      </w:pPr>
      <w:r w:rsidRPr="00A106B4">
        <w:rPr>
          <w:rFonts w:ascii="Times" w:eastAsia="Batang" w:hAnsi="Times"/>
          <w:i/>
          <w:iCs/>
          <w:szCs w:val="24"/>
          <w:lang w:eastAsia="ko-KR"/>
        </w:rPr>
        <w:t>A UE can receive a PDSCH scheduled within an LBT bandwidth or over multiple LBT bandwidths as per Rel-15 and current agreements in Rel-16.</w:t>
      </w:r>
    </w:p>
    <w:p w14:paraId="74CB9A7E" w14:textId="579D6F27" w:rsidR="002677E1" w:rsidRDefault="001F37E5" w:rsidP="007A13E2">
      <w:pPr>
        <w:pStyle w:val="BodyText"/>
      </w:pPr>
      <w:r>
        <w:t>Furthermore,</w:t>
      </w:r>
      <w:r w:rsidR="00EE30E8">
        <w:t xml:space="preserve"> following was agreed regarding LBT per carrier for channel </w:t>
      </w:r>
      <w:r w:rsidR="00B34888">
        <w:t>access:</w:t>
      </w:r>
    </w:p>
    <w:p w14:paraId="43C7A952" w14:textId="77777777" w:rsidR="00EE30E8" w:rsidRDefault="00EE30E8" w:rsidP="00EE30E8">
      <w:r w:rsidRPr="005375F0">
        <w:rPr>
          <w:highlight w:val="green"/>
          <w:u w:val="single"/>
        </w:rPr>
        <w:t>Agreement</w:t>
      </w:r>
      <w:r w:rsidRPr="005E7168">
        <w:rPr>
          <w:highlight w:val="green"/>
        </w:rPr>
        <w:t>:</w:t>
      </w:r>
    </w:p>
    <w:p w14:paraId="5DB79690" w14:textId="77777777" w:rsidR="00EE30E8" w:rsidRPr="00A106B4" w:rsidRDefault="00EE30E8" w:rsidP="00EE30E8">
      <w:pPr>
        <w:rPr>
          <w:rFonts w:ascii="Times" w:hAnsi="Times" w:cs="Times"/>
          <w:i/>
          <w:iCs/>
        </w:rPr>
      </w:pPr>
      <w:r w:rsidRPr="00A106B4">
        <w:rPr>
          <w:rFonts w:ascii="Times" w:hAnsi="Times" w:cs="Times"/>
          <w:i/>
          <w:iCs/>
        </w:rPr>
        <w:t>Multi-carrier channel access schemes that are applicable to multiple carriers with a single LBT sub-band per carrier that is the same as the carrier bandwidth are also applicable to multiple LBT sub-bands within a carrier when such carriers are used either as a single wideband carrier or as part of carrier aggregation of a set of carriers.</w:t>
      </w:r>
    </w:p>
    <w:p w14:paraId="69E7188A" w14:textId="25726A53" w:rsidR="00061EB7" w:rsidRDefault="00DD1573" w:rsidP="00425B39">
      <w:pPr>
        <w:pStyle w:val="BodyText"/>
      </w:pPr>
      <w:r>
        <w:t>In previous meetings, it has been proposed that a</w:t>
      </w:r>
      <w:r w:rsidR="00521061">
        <w:t xml:space="preserve"> mechanism for informing the UE about the availability of one or more carriers and/or LBT </w:t>
      </w:r>
      <w:r w:rsidR="001A4B5E" w:rsidRPr="001A4B5E">
        <w:t>can be addressed by adding some extra bits in DCI format 2_0 e.g. 1 bit per carrier in the SFI-index</w:t>
      </w:r>
      <w:r>
        <w:t xml:space="preserve"> that is signalled dynamically</w:t>
      </w:r>
      <w:r w:rsidR="001A4B5E" w:rsidRPr="001A4B5E">
        <w:t>. However, this comes with a cost of</w:t>
      </w:r>
      <w:r w:rsidR="006709B7">
        <w:t xml:space="preserve"> modifying the DCI format and is not the most efficient method with regard to overhead</w:t>
      </w:r>
      <w:r>
        <w:t>.</w:t>
      </w:r>
      <w:r w:rsidR="006A5319">
        <w:t xml:space="preserve"> </w:t>
      </w:r>
      <w:r>
        <w:t>G</w:t>
      </w:r>
      <w:r w:rsidR="001A4B5E" w:rsidRPr="001A4B5E">
        <w:t xml:space="preserve">iven that the size of DCI format 2_0 could be 128, this can reduce the coverage of GC-PDCCH. </w:t>
      </w:r>
      <w:r>
        <w:t xml:space="preserve">In contrast, we propose that to avoid this </w:t>
      </w:r>
      <w:r w:rsidR="006709B7">
        <w:t xml:space="preserve">inefficiency in increase of </w:t>
      </w:r>
      <w:r>
        <w:t>overhead and</w:t>
      </w:r>
      <w:r w:rsidR="006709B7">
        <w:t xml:space="preserve"> to</w:t>
      </w:r>
      <w:r>
        <w:t xml:space="preserve"> simultaneously </w:t>
      </w:r>
      <w:r w:rsidR="00043BCB">
        <w:t xml:space="preserve">minimize specification impact, </w:t>
      </w:r>
      <w:r>
        <w:t xml:space="preserve">we </w:t>
      </w:r>
      <w:r w:rsidR="00474EE4">
        <w:t>reus</w:t>
      </w:r>
      <w:r>
        <w:t>e</w:t>
      </w:r>
      <w:r w:rsidR="00474EE4">
        <w:t xml:space="preserve"> the signalling design for</w:t>
      </w:r>
      <w:r w:rsidR="0039057C">
        <w:t xml:space="preserve"> DCI</w:t>
      </w:r>
      <w:r w:rsidR="00474EE4">
        <w:t xml:space="preserve"> </w:t>
      </w:r>
      <w:r w:rsidR="00061EB7">
        <w:t>format 2_0</w:t>
      </w:r>
      <w:r w:rsidR="0039057C">
        <w:t xml:space="preserve"> in Rel-15 by reinterpreting </w:t>
      </w:r>
      <w:r w:rsidR="00D3692F">
        <w:t xml:space="preserve">or </w:t>
      </w:r>
      <w:r w:rsidR="0039057C">
        <w:t xml:space="preserve">adding new </w:t>
      </w:r>
      <w:r w:rsidR="00AA332F">
        <w:t xml:space="preserve">RRC configuration parameters </w:t>
      </w:r>
      <w:r w:rsidR="006709B7">
        <w:t>as</w:t>
      </w:r>
      <w:r w:rsidR="00AA332F">
        <w:t xml:space="preserve"> proposed for</w:t>
      </w:r>
      <w:r w:rsidR="006A2D2B">
        <w:t xml:space="preserve"> COT structure indication in </w:t>
      </w:r>
      <w:r w:rsidR="006709B7">
        <w:t xml:space="preserve">the </w:t>
      </w:r>
      <w:r w:rsidR="006A2D2B">
        <w:t>time domain</w:t>
      </w:r>
      <w:r w:rsidR="00AA332F">
        <w:t xml:space="preserve"> </w:t>
      </w:r>
      <w:r>
        <w:t xml:space="preserve">as discussed </w:t>
      </w:r>
      <w:r w:rsidR="00AA332F">
        <w:t xml:space="preserve">in </w:t>
      </w:r>
      <w:r w:rsidR="006709B7">
        <w:t xml:space="preserve">the </w:t>
      </w:r>
      <w:r w:rsidR="00AA332F">
        <w:t>previous section.</w:t>
      </w:r>
    </w:p>
    <w:p w14:paraId="4C215574" w14:textId="4FCC2125" w:rsidR="00DD1573" w:rsidRDefault="004170F6" w:rsidP="00425B39">
      <w:pPr>
        <w:pStyle w:val="BodyText"/>
      </w:pPr>
      <w:r>
        <w:t>A</w:t>
      </w:r>
      <w:r w:rsidR="00F30844" w:rsidRPr="00F30844">
        <w:t xml:space="preserve">s </w:t>
      </w:r>
      <w:r>
        <w:t>explained</w:t>
      </w:r>
      <w:r w:rsidR="00F30844" w:rsidRPr="00F30844">
        <w:t xml:space="preserve"> in the </w:t>
      </w:r>
      <w:r>
        <w:t>previous</w:t>
      </w:r>
      <w:r w:rsidR="00F30844" w:rsidRPr="00F30844">
        <w:t xml:space="preserve"> section</w:t>
      </w:r>
      <w:r w:rsidR="00DD1573">
        <w:t>,</w:t>
      </w:r>
      <w:r w:rsidR="00F30844" w:rsidRPr="00F30844">
        <w:t xml:space="preserve"> </w:t>
      </w:r>
      <w:r w:rsidR="00EE3AD9">
        <w:t>in Rel-15 each SFI-index</w:t>
      </w:r>
      <w:r w:rsidR="00F30844">
        <w:t xml:space="preserve"> (</w:t>
      </w:r>
      <w:r w:rsidR="000D2378">
        <w:t>or “</w:t>
      </w:r>
      <w:r w:rsidR="00F30844">
        <w:t>slot format indicator</w:t>
      </w:r>
      <w:r w:rsidR="000D2378">
        <w:t>”</w:t>
      </w:r>
      <w:r w:rsidR="00F30844">
        <w:t>)</w:t>
      </w:r>
      <w:r w:rsidR="00EE3AD9">
        <w:t xml:space="preserve"> in the DCI format 2_0 indicates </w:t>
      </w:r>
      <w:r w:rsidR="00A97DBD">
        <w:t xml:space="preserve">the slot format for a serving </w:t>
      </w:r>
      <w:r w:rsidR="00766896">
        <w:t xml:space="preserve">cell </w:t>
      </w:r>
      <w:r w:rsidR="00165D05">
        <w:t xml:space="preserve">indicated by </w:t>
      </w:r>
      <w:r w:rsidR="00165D05" w:rsidRPr="00A673D3">
        <w:rPr>
          <w:i/>
          <w:iCs/>
        </w:rPr>
        <w:t>ServingCellID</w:t>
      </w:r>
      <w:r w:rsidR="00165D05">
        <w:t xml:space="preserve"> </w:t>
      </w:r>
      <w:r w:rsidR="00EB2B5E">
        <w:t>and the</w:t>
      </w:r>
      <w:r w:rsidR="00A97DBD">
        <w:t xml:space="preserve"> position </w:t>
      </w:r>
      <w:r w:rsidR="00165D05">
        <w:t xml:space="preserve">corresponding </w:t>
      </w:r>
      <w:r w:rsidR="00A97DBD">
        <w:t>SFI-index is</w:t>
      </w:r>
      <w:r w:rsidR="005F03E0">
        <w:t xml:space="preserve"> given </w:t>
      </w:r>
      <w:r w:rsidR="00A97DBD">
        <w:t xml:space="preserve">by </w:t>
      </w:r>
      <w:r w:rsidR="005F03E0" w:rsidRPr="00B34888">
        <w:rPr>
          <w:i/>
          <w:iCs/>
        </w:rPr>
        <w:t>positionInDCI</w:t>
      </w:r>
      <w:r w:rsidR="00E42AD7">
        <w:t xml:space="preserve">. </w:t>
      </w:r>
      <w:r w:rsidR="00226209">
        <w:t>In</w:t>
      </w:r>
      <w:r w:rsidR="00EA7A45">
        <w:t xml:space="preserve"> unlicensed band </w:t>
      </w:r>
      <w:r w:rsidR="003700AF">
        <w:t>we</w:t>
      </w:r>
      <w:r w:rsidR="00EA7A45">
        <w:t xml:space="preserve"> </w:t>
      </w:r>
      <w:r w:rsidR="00A673D3">
        <w:t>might need to i</w:t>
      </w:r>
      <w:r w:rsidR="00EA7A45">
        <w:t xml:space="preserve">ndicate the </w:t>
      </w:r>
      <w:r w:rsidR="003700AF">
        <w:t xml:space="preserve">availability or COT </w:t>
      </w:r>
      <w:r w:rsidR="00226209">
        <w:t>structure</w:t>
      </w:r>
      <w:r w:rsidR="00EA7A45">
        <w:t xml:space="preserve"> of </w:t>
      </w:r>
      <w:r w:rsidR="00226209">
        <w:t>each</w:t>
      </w:r>
      <w:r w:rsidR="00EA7A45">
        <w:t xml:space="preserve"> LBT bandwidth</w:t>
      </w:r>
      <w:r w:rsidR="00C10799">
        <w:t xml:space="preserve"> </w:t>
      </w:r>
      <w:r w:rsidR="00A673D3">
        <w:t xml:space="preserve">within a </w:t>
      </w:r>
      <w:r w:rsidR="00DD1573">
        <w:t xml:space="preserve">wideband </w:t>
      </w:r>
      <w:r w:rsidR="00A673D3">
        <w:t xml:space="preserve">carrier </w:t>
      </w:r>
      <w:r w:rsidR="00C10799">
        <w:t xml:space="preserve">apart from the indication </w:t>
      </w:r>
      <w:r w:rsidR="00822797">
        <w:t>of</w:t>
      </w:r>
      <w:r w:rsidR="00C10799">
        <w:t xml:space="preserve"> the whole serving cell</w:t>
      </w:r>
      <w:r w:rsidR="00822797">
        <w:t xml:space="preserve"> as suggested by above agreement</w:t>
      </w:r>
      <w:r w:rsidR="000404EE">
        <w:t>.</w:t>
      </w:r>
      <w:r w:rsidR="00033458">
        <w:t xml:space="preserve"> </w:t>
      </w:r>
      <w:r w:rsidR="00C10799">
        <w:t>One simple way to solve this problem</w:t>
      </w:r>
      <w:r w:rsidR="00076828">
        <w:t>,</w:t>
      </w:r>
      <w:r w:rsidR="00DF5FC7">
        <w:t xml:space="preserve"> by</w:t>
      </w:r>
      <w:r w:rsidR="00076828">
        <w:t xml:space="preserve"> </w:t>
      </w:r>
      <w:r w:rsidR="000404EE">
        <w:t xml:space="preserve">reusing the existing signalling mechanism, </w:t>
      </w:r>
      <w:r w:rsidR="00C10799">
        <w:t>is to allow</w:t>
      </w:r>
      <w:r w:rsidR="00E341FB">
        <w:t xml:space="preserve"> </w:t>
      </w:r>
      <w:r w:rsidR="00C52BC1">
        <w:t xml:space="preserve">each </w:t>
      </w:r>
      <w:r w:rsidR="00C52BC1" w:rsidRPr="004D3D00">
        <w:rPr>
          <w:i/>
        </w:rPr>
        <w:t>SlotFormatCombinationPerCell</w:t>
      </w:r>
      <w:r w:rsidR="00C52BC1">
        <w:t xml:space="preserve"> </w:t>
      </w:r>
      <w:r w:rsidR="00E341FB">
        <w:t xml:space="preserve">to be configured </w:t>
      </w:r>
      <w:r w:rsidR="000404EE">
        <w:t>per</w:t>
      </w:r>
      <w:r w:rsidR="00E341FB">
        <w:t xml:space="preserve"> </w:t>
      </w:r>
      <w:r w:rsidR="001454E9">
        <w:t>LBT bandwi</w:t>
      </w:r>
      <w:r w:rsidR="00A95ED4">
        <w:t>d</w:t>
      </w:r>
      <w:r w:rsidR="001454E9">
        <w:t>th</w:t>
      </w:r>
      <w:r w:rsidR="00E341FB">
        <w:t xml:space="preserve"> or part of the serving cell bandwidth</w:t>
      </w:r>
      <w:r w:rsidR="00E43EFD">
        <w:t>,</w:t>
      </w:r>
      <w:r w:rsidR="00D101D8">
        <w:t xml:space="preserve"> instead of the entire bandwidth</w:t>
      </w:r>
      <w:r w:rsidR="00DD1573">
        <w:t>.</w:t>
      </w:r>
      <w:r w:rsidR="00F61F54">
        <w:t xml:space="preserve"> </w:t>
      </w:r>
      <w:r w:rsidR="00DD1573">
        <w:t>A</w:t>
      </w:r>
      <w:r w:rsidR="00F61F54">
        <w:t>s a consequence</w:t>
      </w:r>
      <w:r w:rsidR="00DD1573">
        <w:t>,</w:t>
      </w:r>
      <w:r w:rsidR="00F61F54">
        <w:t xml:space="preserve"> each SFI-index </w:t>
      </w:r>
      <w:r w:rsidR="004B5E73">
        <w:t>applies to a LBT bandwidth or part of the serving cell bandwidth</w:t>
      </w:r>
      <w:r w:rsidR="00A95ED4">
        <w:t xml:space="preserve">. </w:t>
      </w:r>
      <w:r w:rsidR="000404EE">
        <w:t>T</w:t>
      </w:r>
      <w:r w:rsidR="00E341FB">
        <w:t xml:space="preserve">o </w:t>
      </w:r>
      <w:r w:rsidR="000404EE">
        <w:t>achieve</w:t>
      </w:r>
      <w:r w:rsidR="00E341FB">
        <w:t xml:space="preserve"> this </w:t>
      </w:r>
      <w:r w:rsidR="000404EE">
        <w:t xml:space="preserve">goal, </w:t>
      </w:r>
      <w:r w:rsidR="00E341FB">
        <w:t>a</w:t>
      </w:r>
      <w:r w:rsidR="00DA40C8">
        <w:t xml:space="preserve"> </w:t>
      </w:r>
      <w:r w:rsidR="00087176">
        <w:t>PRB range</w:t>
      </w:r>
      <w:r w:rsidR="00DA40C8">
        <w:t xml:space="preserve"> </w:t>
      </w:r>
      <w:r w:rsidR="00CA7CE7">
        <w:t xml:space="preserve">within the </w:t>
      </w:r>
      <w:r w:rsidR="005903E2">
        <w:t xml:space="preserve">serving cell </w:t>
      </w:r>
      <w:r w:rsidR="00CA7CE7">
        <w:t xml:space="preserve">bandwidth </w:t>
      </w:r>
      <w:r w:rsidR="00DA40C8">
        <w:t xml:space="preserve">can be defined </w:t>
      </w:r>
      <w:r w:rsidR="005903E2">
        <w:t>within the</w:t>
      </w:r>
      <w:r w:rsidR="00766896">
        <w:t xml:space="preserve"> </w:t>
      </w:r>
      <w:r w:rsidR="00766896" w:rsidRPr="00816EB6">
        <w:rPr>
          <w:i/>
          <w:iCs/>
        </w:rPr>
        <w:t>SlotFormatCombinationPerCell</w:t>
      </w:r>
      <w:r w:rsidR="005903E2">
        <w:t xml:space="preserve"> parameter</w:t>
      </w:r>
      <w:r w:rsidR="00DA40C8">
        <w:t xml:space="preserve">. </w:t>
      </w:r>
      <w:r w:rsidR="00DD1573">
        <w:t>A</w:t>
      </w:r>
      <w:r w:rsidR="005903E2">
        <w:t>s mentioned before</w:t>
      </w:r>
      <w:r w:rsidR="00A97DBD">
        <w:t xml:space="preserve"> there is already enough </w:t>
      </w:r>
      <w:r w:rsidR="00611137">
        <w:t>flexibility</w:t>
      </w:r>
      <w:r w:rsidR="00DA40C8">
        <w:t xml:space="preserve"> </w:t>
      </w:r>
      <w:r w:rsidR="00A97DBD">
        <w:t xml:space="preserve">to </w:t>
      </w:r>
      <w:r w:rsidR="000D57D5">
        <w:t>address</w:t>
      </w:r>
      <w:r w:rsidR="002F2762">
        <w:t xml:space="preserve"> </w:t>
      </w:r>
      <w:r w:rsidR="00A97DBD">
        <w:t xml:space="preserve">large number of </w:t>
      </w:r>
      <w:r w:rsidR="007B3196">
        <w:t xml:space="preserve">serving cells </w:t>
      </w:r>
      <w:r w:rsidR="00417CBB">
        <w:t>by a single DCI format 2_0</w:t>
      </w:r>
      <w:r w:rsidR="007B3196">
        <w:t xml:space="preserve"> using the </w:t>
      </w:r>
      <w:r w:rsidR="00DF7696" w:rsidRPr="00A106B4">
        <w:rPr>
          <w:i/>
          <w:iCs/>
        </w:rPr>
        <w:t>positionInDCI</w:t>
      </w:r>
      <w:r w:rsidR="00DF7696">
        <w:t xml:space="preserve"> parameter for configuration</w:t>
      </w:r>
      <w:r w:rsidR="00DD1573">
        <w:t>. Hence, COT structure information can be signalled for a large number of LBT bandwidths without extending existing signalling other than to specify the PRB ranges.</w:t>
      </w:r>
    </w:p>
    <w:p w14:paraId="05864D40" w14:textId="7C0CD4C2" w:rsidR="00766896" w:rsidRDefault="008D6DAC" w:rsidP="00A106B4">
      <w:pPr>
        <w:pStyle w:val="Observation"/>
      </w:pPr>
      <w:bookmarkStart w:id="47" w:name="_Toc16886761"/>
      <w:r>
        <w:t xml:space="preserve">With a small extension, </w:t>
      </w:r>
      <w:r w:rsidR="004D5AAF">
        <w:t xml:space="preserve">DCI format 2_0 in </w:t>
      </w:r>
      <w:r w:rsidR="00D0433C">
        <w:t>Rel-15</w:t>
      </w:r>
      <w:r w:rsidR="004D5AAF">
        <w:t xml:space="preserve"> </w:t>
      </w:r>
      <w:r>
        <w:t xml:space="preserve">already </w:t>
      </w:r>
      <w:r w:rsidR="004D5AAF">
        <w:t>provide</w:t>
      </w:r>
      <w:r>
        <w:t>s</w:t>
      </w:r>
      <w:r w:rsidR="004D5AAF">
        <w:t xml:space="preserve"> enough flexibility to</w:t>
      </w:r>
      <w:r w:rsidR="004D5AAF" w:rsidRPr="004D5AAF">
        <w:t xml:space="preserve"> </w:t>
      </w:r>
      <w:r w:rsidR="00BA56E3" w:rsidRPr="004D5AAF">
        <w:t>support</w:t>
      </w:r>
      <w:r w:rsidR="004D5AAF">
        <w:t xml:space="preserve"> a</w:t>
      </w:r>
      <w:r w:rsidR="004D5AAF" w:rsidRPr="004D5AAF">
        <w:t xml:space="preserve"> mechanism to inform the UE that one or more carriers and/or LBT bandwidths are not available or available for DL reception</w:t>
      </w:r>
      <w:bookmarkEnd w:id="47"/>
      <w:r w:rsidR="00D0433C">
        <w:t xml:space="preserve"> </w:t>
      </w:r>
    </w:p>
    <w:p w14:paraId="5C6681A2" w14:textId="2CFC6F46" w:rsidR="008372D7" w:rsidRDefault="00620A1B" w:rsidP="00A106B4">
      <w:pPr>
        <w:pStyle w:val="Proposal"/>
      </w:pPr>
      <w:bookmarkStart w:id="48" w:name="_Toc16886770"/>
      <w:r>
        <w:t>Applicability of e</w:t>
      </w:r>
      <w:r w:rsidR="00E5027C">
        <w:t>xisting RRC parameter</w:t>
      </w:r>
      <w:r w:rsidR="00D11C52">
        <w:t>s</w:t>
      </w:r>
      <w:r w:rsidR="00E5027C">
        <w:t xml:space="preserve"> for </w:t>
      </w:r>
      <w:r w:rsidR="006B6E7E">
        <w:t xml:space="preserve">configuration </w:t>
      </w:r>
      <w:r w:rsidR="00C47E15">
        <w:t>of DCI format 2_0</w:t>
      </w:r>
      <w:r w:rsidR="00E5027C">
        <w:t xml:space="preserve"> </w:t>
      </w:r>
      <w:r>
        <w:t>is</w:t>
      </w:r>
      <w:r w:rsidR="00CC1781">
        <w:t xml:space="preserve"> </w:t>
      </w:r>
      <w:r>
        <w:t>extended to apply to a PRB range</w:t>
      </w:r>
      <w:r w:rsidR="005235E3">
        <w:t>,</w:t>
      </w:r>
      <w:r w:rsidR="00CC1781">
        <w:t xml:space="preserve"> </w:t>
      </w:r>
      <w:r w:rsidR="00DC52E4">
        <w:t>so that</w:t>
      </w:r>
      <w:r w:rsidR="00583E5F">
        <w:t xml:space="preserve"> slot format </w:t>
      </w:r>
      <w:r w:rsidR="005235E3">
        <w:t xml:space="preserve">indication </w:t>
      </w:r>
      <w:r w:rsidR="00805004">
        <w:t>for</w:t>
      </w:r>
      <w:r w:rsidR="00583E5F">
        <w:t xml:space="preserve"> part of a serving cell or carrier bandwidth</w:t>
      </w:r>
      <w:r>
        <w:t xml:space="preserve"> can be provided</w:t>
      </w:r>
      <w:r w:rsidR="00583E5F">
        <w:t xml:space="preserve"> </w:t>
      </w:r>
      <w:r>
        <w:t>w</w:t>
      </w:r>
      <w:r w:rsidR="000B28B4">
        <w:t>hile preserving</w:t>
      </w:r>
      <w:r w:rsidR="00102F53">
        <w:t xml:space="preserve"> the signalling</w:t>
      </w:r>
      <w:r w:rsidR="000B28B4">
        <w:t xml:space="preserve"> </w:t>
      </w:r>
      <w:r w:rsidR="00183469">
        <w:t>structure</w:t>
      </w:r>
      <w:r w:rsidR="00102F53">
        <w:t xml:space="preserve"> </w:t>
      </w:r>
      <w:r>
        <w:t xml:space="preserve">of </w:t>
      </w:r>
      <w:r w:rsidR="00102F53">
        <w:t xml:space="preserve">DCI </w:t>
      </w:r>
      <w:r w:rsidR="00A62ABD">
        <w:t xml:space="preserve">format </w:t>
      </w:r>
      <w:r w:rsidR="00102F53">
        <w:t>2_0</w:t>
      </w:r>
      <w:r w:rsidR="00A62ABD">
        <w:t xml:space="preserve"> in Rel-15.</w:t>
      </w:r>
      <w:bookmarkEnd w:id="48"/>
      <w:r w:rsidR="00B113A7">
        <w:t xml:space="preserve"> </w:t>
      </w:r>
    </w:p>
    <w:p w14:paraId="2E20D919" w14:textId="21A7A734" w:rsidR="00DE6D8B" w:rsidRDefault="009D0FE4" w:rsidP="00425B39">
      <w:pPr>
        <w:pStyle w:val="BodyText"/>
      </w:pPr>
      <w:r>
        <w:t>Given the above solution to address each carrier or LBT bandwidth</w:t>
      </w:r>
      <w:r w:rsidR="008D6DAC">
        <w:t>,</w:t>
      </w:r>
      <w:r>
        <w:t xml:space="preserve"> one simple way to </w:t>
      </w:r>
      <w:r w:rsidR="00713100">
        <w:t>indicate to th</w:t>
      </w:r>
      <w:r w:rsidR="00151B7A">
        <w:t>e</w:t>
      </w:r>
      <w:r w:rsidR="00713100">
        <w:t xml:space="preserve"> UE that specific LBT bandwidth</w:t>
      </w:r>
      <w:r w:rsidR="00151B7A">
        <w:t xml:space="preserve"> and/or </w:t>
      </w:r>
      <w:r w:rsidR="00713100">
        <w:t xml:space="preserve">carrier is not available </w:t>
      </w:r>
      <w:r w:rsidR="00DE6D8B">
        <w:t xml:space="preserve">for specific duration </w:t>
      </w:r>
      <w:r w:rsidR="00713100">
        <w:t xml:space="preserve">is to set all slots </w:t>
      </w:r>
      <w:r w:rsidR="00DE6D8B">
        <w:t xml:space="preserve">to UL for that </w:t>
      </w:r>
      <w:r w:rsidR="00572F94">
        <w:t>period</w:t>
      </w:r>
      <w:r w:rsidR="00DE6D8B">
        <w:t>.</w:t>
      </w:r>
      <w:r w:rsidR="0003587B">
        <w:t xml:space="preserve"> This is </w:t>
      </w:r>
      <w:r w:rsidR="004017BF">
        <w:t xml:space="preserve">well </w:t>
      </w:r>
      <w:r w:rsidR="0003587B">
        <w:t xml:space="preserve">justified since the main reason for indication of unavailability is to </w:t>
      </w:r>
      <w:r w:rsidR="008D6DAC">
        <w:t xml:space="preserve">inform the </w:t>
      </w:r>
      <w:r w:rsidR="0003587B">
        <w:t>UE that it does not need to monitor PDCCH and can save power.</w:t>
      </w:r>
    </w:p>
    <w:p w14:paraId="7FC9E4BD" w14:textId="6B45A10D" w:rsidR="00E9344E" w:rsidRDefault="00930435" w:rsidP="007056CF">
      <w:pPr>
        <w:pStyle w:val="Proposal"/>
      </w:pPr>
      <w:bookmarkStart w:id="49" w:name="_Toc16886771"/>
      <w:r>
        <w:t>To indicate that a specific carrier or LBT bandwidth is not available</w:t>
      </w:r>
      <w:r w:rsidR="008D6DAC">
        <w:t>,</w:t>
      </w:r>
      <w:r>
        <w:t xml:space="preserve"> </w:t>
      </w:r>
      <w:r w:rsidR="00CC10F4">
        <w:t>send the SFI-index indicating</w:t>
      </w:r>
      <w:r>
        <w:t xml:space="preserve"> that all</w:t>
      </w:r>
      <w:r w:rsidR="00CC10F4">
        <w:t xml:space="preserve"> </w:t>
      </w:r>
      <w:r>
        <w:t xml:space="preserve">slots </w:t>
      </w:r>
      <w:r w:rsidR="00CC10F4">
        <w:t xml:space="preserve">for corresponding carrier or LBT bandwidth </w:t>
      </w:r>
      <w:r w:rsidR="004F0976">
        <w:t>are</w:t>
      </w:r>
      <w:r w:rsidR="00CC10F4">
        <w:t xml:space="preserve"> UL.</w:t>
      </w:r>
      <w:bookmarkEnd w:id="49"/>
    </w:p>
    <w:p w14:paraId="6208A8EE" w14:textId="2A501987" w:rsidR="00983BC4" w:rsidRDefault="00D02F11" w:rsidP="00CD19E5">
      <w:pPr>
        <w:rPr>
          <w:rFonts w:asciiTheme="minorBidi" w:hAnsiTheme="minorBidi" w:cstheme="minorBidi"/>
        </w:rPr>
      </w:pPr>
      <w:r w:rsidRPr="00861D4E">
        <w:rPr>
          <w:rFonts w:asciiTheme="minorBidi" w:hAnsiTheme="minorBidi" w:cstheme="minorBidi"/>
        </w:rPr>
        <w:t xml:space="preserve">As mentioned previously the GC-PDCCH transmission needs to be under the control of gNB decision to provide scheduling flexibility and efficient usage of resources. </w:t>
      </w:r>
      <w:r w:rsidR="00983BC4" w:rsidRPr="00861D4E">
        <w:rPr>
          <w:rFonts w:asciiTheme="minorBidi" w:hAnsiTheme="minorBidi" w:cstheme="minorBidi"/>
        </w:rPr>
        <w:t xml:space="preserve">Furthermore, transmission of GC-PDCCH </w:t>
      </w:r>
      <w:r w:rsidR="00CE082D" w:rsidRPr="00861D4E">
        <w:rPr>
          <w:rFonts w:asciiTheme="minorBidi" w:hAnsiTheme="minorBidi" w:cstheme="minorBidi"/>
        </w:rPr>
        <w:t>regarding the</w:t>
      </w:r>
      <w:r w:rsidR="00983BC4" w:rsidRPr="00861D4E">
        <w:rPr>
          <w:rFonts w:asciiTheme="minorBidi" w:hAnsiTheme="minorBidi" w:cstheme="minorBidi"/>
        </w:rPr>
        <w:t xml:space="preserve"> indication of COT structure is </w:t>
      </w:r>
      <w:r w:rsidR="00861D4E" w:rsidRPr="00861D4E">
        <w:rPr>
          <w:rFonts w:asciiTheme="minorBidi" w:hAnsiTheme="minorBidi" w:cstheme="minorBidi"/>
        </w:rPr>
        <w:t xml:space="preserve">used </w:t>
      </w:r>
      <w:r w:rsidR="00983BC4" w:rsidRPr="00861D4E">
        <w:rPr>
          <w:rFonts w:asciiTheme="minorBidi" w:hAnsiTheme="minorBidi" w:cstheme="minorBidi"/>
        </w:rPr>
        <w:t xml:space="preserve">for power </w:t>
      </w:r>
      <w:r w:rsidR="0002259D" w:rsidRPr="00861D4E">
        <w:rPr>
          <w:rFonts w:asciiTheme="minorBidi" w:hAnsiTheme="minorBidi" w:cstheme="minorBidi"/>
        </w:rPr>
        <w:t>saving</w:t>
      </w:r>
      <w:r w:rsidR="00861D4E" w:rsidRPr="00861D4E">
        <w:rPr>
          <w:rFonts w:asciiTheme="minorBidi" w:hAnsiTheme="minorBidi" w:cstheme="minorBidi"/>
        </w:rPr>
        <w:t xml:space="preserve"> purposes</w:t>
      </w:r>
      <w:r w:rsidR="0002259D" w:rsidRPr="00861D4E">
        <w:rPr>
          <w:rFonts w:asciiTheme="minorBidi" w:hAnsiTheme="minorBidi" w:cstheme="minorBidi"/>
        </w:rPr>
        <w:t xml:space="preserve">. </w:t>
      </w:r>
      <w:r w:rsidR="00861D4E" w:rsidRPr="00861D4E">
        <w:rPr>
          <w:rFonts w:asciiTheme="minorBidi" w:hAnsiTheme="minorBidi" w:cstheme="minorBidi"/>
        </w:rPr>
        <w:t>Therefore,</w:t>
      </w:r>
      <w:r w:rsidR="00983BC4" w:rsidRPr="00861D4E">
        <w:rPr>
          <w:rFonts w:asciiTheme="minorBidi" w:hAnsiTheme="minorBidi" w:cstheme="minorBidi"/>
        </w:rPr>
        <w:t xml:space="preserve"> if UE </w:t>
      </w:r>
      <w:r w:rsidR="004E493F" w:rsidRPr="00861D4E">
        <w:rPr>
          <w:rFonts w:asciiTheme="minorBidi" w:hAnsiTheme="minorBidi" w:cstheme="minorBidi"/>
        </w:rPr>
        <w:t xml:space="preserve">is </w:t>
      </w:r>
      <w:r w:rsidR="00983BC4" w:rsidRPr="00861D4E">
        <w:rPr>
          <w:rFonts w:asciiTheme="minorBidi" w:hAnsiTheme="minorBidi" w:cstheme="minorBidi"/>
        </w:rPr>
        <w:t>configured or receive</w:t>
      </w:r>
      <w:r w:rsidR="006C0569" w:rsidRPr="00861D4E">
        <w:rPr>
          <w:rFonts w:asciiTheme="minorBidi" w:hAnsiTheme="minorBidi" w:cstheme="minorBidi"/>
        </w:rPr>
        <w:t>s</w:t>
      </w:r>
      <w:r w:rsidR="00983BC4" w:rsidRPr="00861D4E">
        <w:rPr>
          <w:rFonts w:asciiTheme="minorBidi" w:hAnsiTheme="minorBidi" w:cstheme="minorBidi"/>
        </w:rPr>
        <w:t xml:space="preserve"> the GC-PDCCH </w:t>
      </w:r>
      <w:r w:rsidR="001E4A1D" w:rsidRPr="00861D4E">
        <w:rPr>
          <w:rFonts w:asciiTheme="minorBidi" w:hAnsiTheme="minorBidi" w:cstheme="minorBidi"/>
        </w:rPr>
        <w:t>carrying</w:t>
      </w:r>
      <w:r w:rsidR="00983BC4" w:rsidRPr="00861D4E">
        <w:rPr>
          <w:rFonts w:asciiTheme="minorBidi" w:hAnsiTheme="minorBidi" w:cstheme="minorBidi"/>
        </w:rPr>
        <w:t xml:space="preserve"> information </w:t>
      </w:r>
      <w:r w:rsidR="00717AD9" w:rsidRPr="00861D4E">
        <w:rPr>
          <w:rFonts w:asciiTheme="minorBidi" w:hAnsiTheme="minorBidi" w:cstheme="minorBidi"/>
        </w:rPr>
        <w:t>of COT structure,</w:t>
      </w:r>
      <w:r w:rsidR="00983BC4" w:rsidRPr="00861D4E">
        <w:rPr>
          <w:rFonts w:asciiTheme="minorBidi" w:hAnsiTheme="minorBidi" w:cstheme="minorBidi"/>
        </w:rPr>
        <w:t xml:space="preserve"> it can utilize this information among other thing</w:t>
      </w:r>
      <w:r w:rsidR="00861D4E" w:rsidRPr="00861D4E">
        <w:rPr>
          <w:rFonts w:asciiTheme="minorBidi" w:hAnsiTheme="minorBidi" w:cstheme="minorBidi"/>
        </w:rPr>
        <w:t>s</w:t>
      </w:r>
      <w:r w:rsidR="00983BC4" w:rsidRPr="00861D4E">
        <w:rPr>
          <w:rFonts w:asciiTheme="minorBidi" w:hAnsiTheme="minorBidi" w:cstheme="minorBidi"/>
        </w:rPr>
        <w:t xml:space="preserve"> for power saving. If not received</w:t>
      </w:r>
      <w:r w:rsidR="00861D4E" w:rsidRPr="00861D4E">
        <w:rPr>
          <w:rFonts w:asciiTheme="minorBidi" w:hAnsiTheme="minorBidi" w:cstheme="minorBidi"/>
        </w:rPr>
        <w:t>,</w:t>
      </w:r>
      <w:r w:rsidR="00983BC4" w:rsidRPr="00861D4E">
        <w:rPr>
          <w:rFonts w:asciiTheme="minorBidi" w:hAnsiTheme="minorBidi" w:cstheme="minorBidi"/>
        </w:rPr>
        <w:t xml:space="preserve"> UE continues monitoring PDCCH on all configured BWPs. </w:t>
      </w:r>
      <w:r w:rsidR="00D46086" w:rsidRPr="00861D4E">
        <w:rPr>
          <w:rFonts w:asciiTheme="minorBidi" w:hAnsiTheme="minorBidi" w:cstheme="minorBidi"/>
        </w:rPr>
        <w:t>Therefore, there should be no mandate on at what point during the COT the UE should be informed about availability or unavailability of carriers/ or LBT bandwidth, and when transmitted GC-PDCCH can provide this information to the UE(s).</w:t>
      </w:r>
    </w:p>
    <w:p w14:paraId="0145A362" w14:textId="04DEC8C4" w:rsidR="00983BC4" w:rsidRPr="00C02E41" w:rsidRDefault="00983BC4" w:rsidP="00983BC4">
      <w:pPr>
        <w:pStyle w:val="Observation"/>
      </w:pPr>
      <w:bookmarkStart w:id="50" w:name="_Toc16886762"/>
      <w:r>
        <w:t xml:space="preserve">In case UE </w:t>
      </w:r>
      <w:r w:rsidR="007060C9">
        <w:t xml:space="preserve">is not configured with GC-PDCCH, or </w:t>
      </w:r>
      <w:r>
        <w:t xml:space="preserve">configured but does not receive GC-PDCCH, UE monitors PDCCH </w:t>
      </w:r>
      <w:r w:rsidR="00D74BB5">
        <w:t xml:space="preserve">on all carriers and/or LBT </w:t>
      </w:r>
      <w:r w:rsidR="00C870AE">
        <w:t xml:space="preserve">bandwidths according to provided </w:t>
      </w:r>
      <w:r w:rsidR="00EC63F3">
        <w:t>configurations</w:t>
      </w:r>
      <w:r>
        <w:t xml:space="preserve">. </w:t>
      </w:r>
      <w:r w:rsidR="002F3D21">
        <w:t>There is no</w:t>
      </w:r>
      <w:r w:rsidR="00E9344E">
        <w:t xml:space="preserve"> need to specify any</w:t>
      </w:r>
      <w:r w:rsidR="002F3D21">
        <w:t xml:space="preserve"> UE behaviour in this regard.</w:t>
      </w:r>
      <w:bookmarkEnd w:id="50"/>
    </w:p>
    <w:p w14:paraId="21AF7EB1" w14:textId="778BD1B6" w:rsidR="00FA30CF" w:rsidRPr="005E0680" w:rsidRDefault="00FA30CF" w:rsidP="002951EE">
      <w:pPr>
        <w:pStyle w:val="Heading1"/>
        <w:numPr>
          <w:ilvl w:val="0"/>
          <w:numId w:val="17"/>
        </w:numPr>
        <w:rPr>
          <w:lang w:val="en-US"/>
        </w:rPr>
      </w:pPr>
      <w:r w:rsidRPr="005E0680">
        <w:rPr>
          <w:lang w:val="en-US"/>
        </w:rPr>
        <w:t xml:space="preserve">CSI-RS for </w:t>
      </w:r>
      <w:r w:rsidR="00EE4D16" w:rsidRPr="005E0680">
        <w:rPr>
          <w:lang w:val="en-US"/>
        </w:rPr>
        <w:t>T</w:t>
      </w:r>
      <w:r w:rsidRPr="005E0680">
        <w:rPr>
          <w:lang w:val="en-US"/>
        </w:rPr>
        <w:t xml:space="preserve">racking </w:t>
      </w:r>
    </w:p>
    <w:p w14:paraId="5389A4C7" w14:textId="35EC5D0D" w:rsidR="00DC4493" w:rsidRPr="00DC4493" w:rsidRDefault="00DC4493" w:rsidP="00DC4493">
      <w:pPr>
        <w:pStyle w:val="BodyText"/>
        <w:rPr>
          <w:lang w:val="en-US"/>
        </w:rPr>
      </w:pPr>
      <w:r w:rsidRPr="00DC4493">
        <w:rPr>
          <w:lang w:val="en-US"/>
        </w:rPr>
        <w:t xml:space="preserve">In NR Rel-15, </w:t>
      </w:r>
      <w:r w:rsidRPr="00DC4493" w:rsidDel="000B2DA5">
        <w:rPr>
          <w:lang w:val="en-US"/>
        </w:rPr>
        <w:t>the</w:t>
      </w:r>
      <w:r w:rsidR="000B2DA5">
        <w:rPr>
          <w:lang w:val="en-US"/>
        </w:rPr>
        <w:t xml:space="preserve"> </w:t>
      </w:r>
      <w:r w:rsidRPr="00DC4493">
        <w:rPr>
          <w:lang w:val="en-US"/>
        </w:rPr>
        <w:t xml:space="preserve">UE expects to be configured with Tracking RS (TRS), i.e., CSI-RS resources for the purposes of time/frequency tracking, in order to aid in demodulation of PDSCH. Both Periodic TRS (p-TRS) and Aperiodic TRS (ap-TRS) are supported in NR Rel-15. The UE expects to be configured with </w:t>
      </w:r>
      <w:r w:rsidR="00C46891">
        <w:rPr>
          <w:lang w:val="en-US"/>
        </w:rPr>
        <w:t>p</w:t>
      </w:r>
      <w:r w:rsidRPr="00DC4493">
        <w:rPr>
          <w:lang w:val="en-US"/>
        </w:rPr>
        <w:t>-</w:t>
      </w:r>
      <w:r w:rsidR="00391EA5" w:rsidRPr="00DC4493">
        <w:rPr>
          <w:lang w:val="en-US"/>
        </w:rPr>
        <w:t>TRS and</w:t>
      </w:r>
      <w:r w:rsidRPr="00DC4493">
        <w:rPr>
          <w:lang w:val="en-US"/>
        </w:rPr>
        <w:t xml:space="preserve"> may additionally be configured with ap-TRS. Furthermore, the time/frequency</w:t>
      </w:r>
      <w:r w:rsidR="00C2373D">
        <w:rPr>
          <w:lang w:val="en-US"/>
        </w:rPr>
        <w:t xml:space="preserve"> resource</w:t>
      </w:r>
      <w:r w:rsidRPr="00DC4493">
        <w:rPr>
          <w:lang w:val="en-US"/>
        </w:rPr>
        <w:t xml:space="preserve"> mapping of ap-TRS should be identical to that of p-TRS, and the UE shall assume that the ap-TRS is QCL’d with the p-TRS with respect to all QCL parameters. The strict relationship of ap-TRS to p-TRS was introduced in specifications since ap-TRS was agreed very late in NR Rel-15.</w:t>
      </w:r>
    </w:p>
    <w:p w14:paraId="62835689" w14:textId="44A3B24A" w:rsidR="00DC4493" w:rsidRPr="00DC4493" w:rsidRDefault="00DC4493" w:rsidP="00DC4493">
      <w:pPr>
        <w:pStyle w:val="BodyText"/>
        <w:rPr>
          <w:lang w:val="en-US"/>
        </w:rPr>
      </w:pPr>
      <w:r w:rsidRPr="00DC4493">
        <w:rPr>
          <w:lang w:val="en-US"/>
        </w:rPr>
        <w:t xml:space="preserve">The use of p-TRS is not well-suited to operation in unlicensed spectrum due to uncertainties in accessing the channel when applying listen-before-talk (LBT). If LBT fails prior to a particular period of TRS, then that period must be dropped, thus reducing the utility of these reference signals for time/frequency tracking. Furthermore, due to the asynchronous nature of channel access, it is fundamentally impossible to pre-configure a periodic CSI-RS transmission such that each period aligns with a gNB acquired COT in order to make use of Cat1 or Cat2 LBT for CSI-RS. </w:t>
      </w:r>
      <w:r w:rsidR="00CE0E44" w:rsidRPr="00DC4493">
        <w:rPr>
          <w:lang w:val="en-US"/>
        </w:rPr>
        <w:t xml:space="preserve">From the UE perspective, </w:t>
      </w:r>
      <w:r w:rsidR="00E662D3">
        <w:rPr>
          <w:lang w:val="en-US"/>
        </w:rPr>
        <w:t xml:space="preserve">if periodic-TRS was the only available tracking reference signal, </w:t>
      </w:r>
      <w:r w:rsidR="00CE0E44" w:rsidRPr="00DC4493">
        <w:rPr>
          <w:lang w:val="en-US"/>
        </w:rPr>
        <w:t xml:space="preserve">some sort of "blind-detection" </w:t>
      </w:r>
      <w:r w:rsidR="007D38C7">
        <w:rPr>
          <w:lang w:val="en-US"/>
        </w:rPr>
        <w:t>might be</w:t>
      </w:r>
      <w:r w:rsidR="00CE0E44" w:rsidRPr="00DC4493">
        <w:rPr>
          <w:lang w:val="en-US"/>
        </w:rPr>
        <w:t xml:space="preserve"> needed to identify whether a particular period of TRS is transmitted or not</w:t>
      </w:r>
      <w:r w:rsidR="00CE0E44">
        <w:rPr>
          <w:lang w:val="en-US"/>
        </w:rPr>
        <w:t xml:space="preserve">, </w:t>
      </w:r>
      <w:r w:rsidR="00CE0E44" w:rsidRPr="00500497">
        <w:rPr>
          <w:lang w:val="en-US"/>
        </w:rPr>
        <w:t>due to the LBT uncertainties</w:t>
      </w:r>
      <w:r w:rsidR="00CE0E44" w:rsidRPr="00DC4493">
        <w:rPr>
          <w:lang w:val="en-US"/>
        </w:rPr>
        <w:t xml:space="preserve">. </w:t>
      </w:r>
      <w:r w:rsidR="00881C47">
        <w:rPr>
          <w:lang w:val="en-US"/>
        </w:rPr>
        <w:t xml:space="preserve">It is </w:t>
      </w:r>
      <w:r w:rsidR="0051286C">
        <w:rPr>
          <w:lang w:val="en-US"/>
        </w:rPr>
        <w:t>also</w:t>
      </w:r>
      <w:r w:rsidR="00881C47">
        <w:rPr>
          <w:lang w:val="en-US"/>
        </w:rPr>
        <w:t xml:space="preserve"> evident that w</w:t>
      </w:r>
      <w:r w:rsidR="00500497">
        <w:rPr>
          <w:lang w:val="en-US"/>
        </w:rPr>
        <w:t>ith p-TRS</w:t>
      </w:r>
      <w:r w:rsidRPr="00DC4493" w:rsidDel="00500497">
        <w:rPr>
          <w:lang w:val="en-US"/>
        </w:rPr>
        <w:t xml:space="preserve">, </w:t>
      </w:r>
      <w:r w:rsidRPr="00DC4493">
        <w:rPr>
          <w:lang w:val="en-US"/>
        </w:rPr>
        <w:t>UE time/frequency tracking performance will</w:t>
      </w:r>
      <w:r w:rsidRPr="00DC4493" w:rsidDel="00056579">
        <w:rPr>
          <w:lang w:val="en-US"/>
        </w:rPr>
        <w:t xml:space="preserve"> </w:t>
      </w:r>
      <w:r w:rsidRPr="00DC4493">
        <w:rPr>
          <w:lang w:val="en-US"/>
        </w:rPr>
        <w:t>degrade if TRS periods are dropped too frequently due to LBT failure.</w:t>
      </w:r>
    </w:p>
    <w:p w14:paraId="7C046E35" w14:textId="2F847F80" w:rsidR="00C47E2A" w:rsidRPr="00CE2B5F" w:rsidRDefault="00C47E2A" w:rsidP="00DC4493">
      <w:pPr>
        <w:pStyle w:val="BodyText"/>
      </w:pPr>
      <w:r>
        <w:t xml:space="preserve">One counter example of an “always-on” periodic signal/channel that cannot be avoided is SS/PBCH blocks, potentially multiplexed with SIB1 in DRS. Periodic transmission of SS/PBCH blocks are needed for initial access, mobility, synchronization, RLM, etc. To manage the uncertainty of channel access, </w:t>
      </w:r>
      <w:r w:rsidR="006401EC">
        <w:t xml:space="preserve">the </w:t>
      </w:r>
      <w:r>
        <w:t xml:space="preserve">DRS transmission window is being defined for NR-U in which each period of the DRS is allowed to shift in time if LBT fails, thus minimizing the possibility of dropping DRS transmissions. </w:t>
      </w:r>
      <w:r w:rsidR="00686E43">
        <w:t xml:space="preserve">However, </w:t>
      </w:r>
      <w:r w:rsidR="00E61D5E">
        <w:t>for other periodic/semi-persistent signals such as CSI-RS and SRS, the design of such transmission windows is not motivated, as aperiodic versions of these signals are already supported in NR Rel-15.</w:t>
      </w:r>
    </w:p>
    <w:p w14:paraId="53E91209" w14:textId="56FB9A45" w:rsidR="00DC4493" w:rsidRPr="00DC4493" w:rsidRDefault="00E662D3" w:rsidP="00DC4493">
      <w:pPr>
        <w:pStyle w:val="BodyText"/>
        <w:rPr>
          <w:lang w:val="en-US"/>
        </w:rPr>
      </w:pPr>
      <w:r>
        <w:rPr>
          <w:lang w:val="en-US"/>
        </w:rPr>
        <w:t>Clearly</w:t>
      </w:r>
      <w:r w:rsidR="00DC4493" w:rsidRPr="00DC4493">
        <w:rPr>
          <w:lang w:val="en-US"/>
        </w:rPr>
        <w:t xml:space="preserve">, aperiodic triggering is much better suited to operation in unlicensed bands, as it is easy to align transmissions within a shared COT acquired by the gNB. With </w:t>
      </w:r>
      <w:r w:rsidR="00157AC9">
        <w:rPr>
          <w:lang w:val="en-US"/>
        </w:rPr>
        <w:t>ap</w:t>
      </w:r>
      <w:r w:rsidR="00DC4493" w:rsidRPr="00DC4493">
        <w:rPr>
          <w:lang w:val="en-US"/>
        </w:rPr>
        <w:t xml:space="preserve">-TRS, CSI-RS for time/frequency tracking can be frequency division multiplexed with an ongoing PDSCH transmission within a shared COT. Indication of ap-TRS transmission is </w:t>
      </w:r>
      <w:r w:rsidR="00C56145">
        <w:rPr>
          <w:lang w:val="en-US"/>
        </w:rPr>
        <w:t>sent to</w:t>
      </w:r>
      <w:r w:rsidR="00C56145" w:rsidRPr="00DC4493">
        <w:rPr>
          <w:lang w:val="en-US"/>
        </w:rPr>
        <w:t xml:space="preserve"> </w:t>
      </w:r>
      <w:r w:rsidR="00DC4493" w:rsidRPr="00DC4493">
        <w:rPr>
          <w:lang w:val="en-US"/>
        </w:rPr>
        <w:t>the UE in DCI, so that the UE can receive the CSI-RS at the exact point in time.</w:t>
      </w:r>
    </w:p>
    <w:p w14:paraId="6C489606" w14:textId="7A3EB79B" w:rsidR="00DC4493" w:rsidRPr="00DC4493" w:rsidRDefault="00DC4493" w:rsidP="00DC4493">
      <w:pPr>
        <w:pStyle w:val="BodyText"/>
        <w:rPr>
          <w:lang w:val="en-US"/>
        </w:rPr>
      </w:pPr>
      <w:r w:rsidRPr="00DC4493">
        <w:rPr>
          <w:lang w:val="en-US"/>
        </w:rPr>
        <w:t xml:space="preserve">Even though ap-TRS is more suitable as time/frequency tracking reference for NR-U, </w:t>
      </w:r>
      <w:r w:rsidR="00787CB9">
        <w:rPr>
          <w:lang w:val="en-US"/>
        </w:rPr>
        <w:t>according to the Rel-15 specification,</w:t>
      </w:r>
      <w:r w:rsidRPr="00DC4493">
        <w:rPr>
          <w:lang w:val="en-US"/>
        </w:rPr>
        <w:t xml:space="preserve"> UE cannot be configured with ap-TRS without </w:t>
      </w:r>
      <w:r w:rsidR="00770308">
        <w:rPr>
          <w:lang w:val="en-US"/>
        </w:rPr>
        <w:t xml:space="preserve">restrict </w:t>
      </w:r>
      <w:r w:rsidR="00265491">
        <w:rPr>
          <w:lang w:val="en-US"/>
        </w:rPr>
        <w:t xml:space="preserve">QCL </w:t>
      </w:r>
      <w:r w:rsidR="00770308">
        <w:rPr>
          <w:lang w:val="en-US"/>
        </w:rPr>
        <w:t>relation</w:t>
      </w:r>
      <w:r w:rsidR="00AA6C41">
        <w:rPr>
          <w:lang w:val="en-US"/>
        </w:rPr>
        <w:t>ship</w:t>
      </w:r>
      <w:r w:rsidR="0070551C">
        <w:rPr>
          <w:lang w:val="en-US"/>
        </w:rPr>
        <w:t xml:space="preserve"> with </w:t>
      </w:r>
      <w:r w:rsidRPr="00DC4493">
        <w:rPr>
          <w:lang w:val="en-US"/>
        </w:rPr>
        <w:t>p-TRS.</w:t>
      </w:r>
      <w:r w:rsidR="006B2A23">
        <w:rPr>
          <w:lang w:val="en-US"/>
        </w:rPr>
        <w:t xml:space="preserve"> </w:t>
      </w:r>
      <w:r w:rsidRPr="00DC4493">
        <w:rPr>
          <w:lang w:val="en-US"/>
        </w:rPr>
        <w:t>One possible solution to mitigate this problem is to set the periodicity of the p-TRS to a large value (</w:t>
      </w:r>
      <w:r w:rsidR="00AA0107">
        <w:rPr>
          <w:lang w:val="en-US"/>
        </w:rPr>
        <w:t>e.g.</w:t>
      </w:r>
      <w:r w:rsidRPr="00DC4493">
        <w:rPr>
          <w:lang w:val="en-US"/>
        </w:rPr>
        <w:t xml:space="preserve"> 80 ms or even higher value) so </w:t>
      </w:r>
      <w:r w:rsidR="00D81776">
        <w:rPr>
          <w:lang w:val="en-US"/>
        </w:rPr>
        <w:t>that t</w:t>
      </w:r>
      <w:r w:rsidRPr="00DC4493">
        <w:rPr>
          <w:lang w:val="en-US"/>
        </w:rPr>
        <w:t xml:space="preserve">he periodic CSI-RS transmission </w:t>
      </w:r>
      <w:r w:rsidR="006D4352">
        <w:rPr>
          <w:lang w:val="en-US"/>
        </w:rPr>
        <w:t xml:space="preserve">is </w:t>
      </w:r>
      <w:r w:rsidR="00D81776">
        <w:rPr>
          <w:lang w:val="en-US"/>
        </w:rPr>
        <w:t>significantly reduced</w:t>
      </w:r>
      <w:r w:rsidRPr="00DC4493">
        <w:rPr>
          <w:lang w:val="en-US"/>
        </w:rPr>
        <w:t>.</w:t>
      </w:r>
    </w:p>
    <w:p w14:paraId="02D18EE8" w14:textId="0AEC63C8" w:rsidR="00DC4493" w:rsidRPr="00DC4493" w:rsidRDefault="00DC4493" w:rsidP="00DC4493">
      <w:pPr>
        <w:pStyle w:val="BodyText"/>
        <w:rPr>
          <w:lang w:val="en-US"/>
        </w:rPr>
      </w:pPr>
      <w:r w:rsidRPr="00DC4493">
        <w:rPr>
          <w:lang w:val="en-US"/>
        </w:rPr>
        <w:t>Based on the above discussion, we propose the following</w:t>
      </w:r>
    </w:p>
    <w:p w14:paraId="50C1D0A4" w14:textId="0D909D6F" w:rsidR="004D7DED" w:rsidRPr="004D7DED" w:rsidRDefault="004D7DED" w:rsidP="004B3DDD">
      <w:pPr>
        <w:pStyle w:val="Observation"/>
        <w:rPr>
          <w:lang w:val="en-US"/>
        </w:rPr>
      </w:pPr>
      <w:bookmarkStart w:id="51" w:name="_Toc16886763"/>
      <w:r>
        <w:rPr>
          <w:lang w:val="en-US"/>
        </w:rPr>
        <w:t>Due to the asynchronous nature of transmission in unlicensed band</w:t>
      </w:r>
      <w:r w:rsidR="0059715F">
        <w:rPr>
          <w:lang w:val="en-US"/>
        </w:rPr>
        <w:t xml:space="preserve"> </w:t>
      </w:r>
      <w:r w:rsidR="00985B39">
        <w:rPr>
          <w:lang w:val="en-US"/>
        </w:rPr>
        <w:t xml:space="preserve">p-TRS transmission cannot be </w:t>
      </w:r>
      <w:r w:rsidR="00C1003F">
        <w:rPr>
          <w:lang w:val="en-US"/>
        </w:rPr>
        <w:t>guaranteed</w:t>
      </w:r>
      <w:r w:rsidR="004F0976">
        <w:rPr>
          <w:lang w:val="en-US"/>
        </w:rPr>
        <w:t>.</w:t>
      </w:r>
      <w:r w:rsidR="00C1003F">
        <w:rPr>
          <w:lang w:val="en-US"/>
        </w:rPr>
        <w:t xml:space="preserve"> </w:t>
      </w:r>
      <w:r w:rsidR="004F0976">
        <w:rPr>
          <w:lang w:val="en-US"/>
        </w:rPr>
        <w:t>T</w:t>
      </w:r>
      <w:r w:rsidR="00C1003F">
        <w:rPr>
          <w:lang w:val="en-US"/>
        </w:rPr>
        <w:t xml:space="preserve">herefore </w:t>
      </w:r>
      <w:r>
        <w:rPr>
          <w:lang w:val="en-US"/>
        </w:rPr>
        <w:t xml:space="preserve">UE should be able to </w:t>
      </w:r>
      <w:r w:rsidR="004B3DDD" w:rsidRPr="004B3DDD">
        <w:rPr>
          <w:lang w:val="en-US"/>
        </w:rPr>
        <w:t>make use of both p</w:t>
      </w:r>
      <w:r w:rsidR="004B3DDD">
        <w:rPr>
          <w:lang w:val="en-US"/>
        </w:rPr>
        <w:t>-TRS and ap-TRS</w:t>
      </w:r>
      <w:r w:rsidR="004B3DDD" w:rsidRPr="004B3DDD">
        <w:rPr>
          <w:lang w:val="en-US"/>
        </w:rPr>
        <w:t>, whenever they are transmitted by the gNB,</w:t>
      </w:r>
      <w:r w:rsidR="004B3DDD">
        <w:rPr>
          <w:lang w:val="en-US"/>
        </w:rPr>
        <w:t xml:space="preserve"> </w:t>
      </w:r>
      <w:r>
        <w:rPr>
          <w:lang w:val="en-US"/>
        </w:rPr>
        <w:t xml:space="preserve">for time/frequency tracking for demodulation of downlink channels. </w:t>
      </w:r>
      <w:r w:rsidR="00E662D3">
        <w:rPr>
          <w:lang w:val="en-US"/>
        </w:rPr>
        <w:t>No specified behavior change is needed compared to Rel-15.</w:t>
      </w:r>
      <w:bookmarkEnd w:id="51"/>
    </w:p>
    <w:p w14:paraId="4F81E672" w14:textId="703BE2C8" w:rsidR="00E73385" w:rsidRDefault="00E73385" w:rsidP="00E73385">
      <w:pPr>
        <w:pStyle w:val="BodyText"/>
        <w:rPr>
          <w:lang w:val="en-US"/>
        </w:rPr>
      </w:pPr>
      <w:r>
        <w:rPr>
          <w:lang w:val="en-US"/>
        </w:rPr>
        <w:t xml:space="preserve">It is worth to mention that the above solution requires </w:t>
      </w:r>
      <w:r w:rsidR="00E662D3">
        <w:rPr>
          <w:lang w:val="en-US"/>
        </w:rPr>
        <w:t xml:space="preserve">no </w:t>
      </w:r>
      <w:r>
        <w:rPr>
          <w:lang w:val="en-US"/>
        </w:rPr>
        <w:t xml:space="preserve">specification change. The TRS configuration and transmission mechanism </w:t>
      </w:r>
      <w:r w:rsidR="00936E64">
        <w:rPr>
          <w:lang w:val="en-US"/>
        </w:rPr>
        <w:t>has</w:t>
      </w:r>
      <w:r>
        <w:rPr>
          <w:lang w:val="en-US"/>
        </w:rPr>
        <w:t xml:space="preserve"> already </w:t>
      </w:r>
      <w:r w:rsidR="00936E64">
        <w:rPr>
          <w:lang w:val="en-US"/>
        </w:rPr>
        <w:t xml:space="preserve">been </w:t>
      </w:r>
      <w:r>
        <w:rPr>
          <w:lang w:val="en-US"/>
        </w:rPr>
        <w:t xml:space="preserve">supported in Rel-15. However, we also notice that the support for </w:t>
      </w:r>
      <w:r w:rsidR="00E07C2A">
        <w:rPr>
          <w:lang w:val="en-US"/>
        </w:rPr>
        <w:t>ap-</w:t>
      </w:r>
      <w:r>
        <w:rPr>
          <w:lang w:val="en-US"/>
        </w:rPr>
        <w:t xml:space="preserve">TRS is an optional UE capability in Rel-15. </w:t>
      </w:r>
      <w:r w:rsidR="00DA4A67">
        <w:rPr>
          <w:lang w:val="en-US"/>
        </w:rPr>
        <w:t>We propos</w:t>
      </w:r>
      <w:r w:rsidR="0020283E">
        <w:rPr>
          <w:lang w:val="en-US"/>
        </w:rPr>
        <w:t>e</w:t>
      </w:r>
      <w:r w:rsidR="00DA4A67">
        <w:rPr>
          <w:lang w:val="en-US"/>
        </w:rPr>
        <w:t xml:space="preserve"> that it is changed to a mandatory feature in Rel-16, at least for NR-U UEs.</w:t>
      </w:r>
    </w:p>
    <w:p w14:paraId="4F899C20" w14:textId="15C1686B" w:rsidR="00E73385" w:rsidRPr="00DC4493" w:rsidRDefault="0020283E" w:rsidP="00A443AB">
      <w:pPr>
        <w:pStyle w:val="Proposal"/>
        <w:rPr>
          <w:lang w:val="en-US"/>
        </w:rPr>
      </w:pPr>
      <w:bookmarkStart w:id="52" w:name="_Toc16886772"/>
      <w:r>
        <w:rPr>
          <w:lang w:val="en-US"/>
        </w:rPr>
        <w:t>Change the support for Aperiodic TRS from an optional UE capability to a mandatory feature in</w:t>
      </w:r>
      <w:r w:rsidR="000830BD">
        <w:rPr>
          <w:lang w:val="en-US"/>
        </w:rPr>
        <w:t xml:space="preserve"> NR</w:t>
      </w:r>
      <w:r>
        <w:rPr>
          <w:lang w:val="en-US"/>
        </w:rPr>
        <w:t xml:space="preserve"> Rel-16</w:t>
      </w:r>
      <w:r w:rsidR="006F57E6">
        <w:rPr>
          <w:lang w:val="en-US"/>
        </w:rPr>
        <w:t>.</w:t>
      </w:r>
      <w:bookmarkEnd w:id="52"/>
    </w:p>
    <w:p w14:paraId="69CCAC6B" w14:textId="0D499D6C" w:rsidR="00DC4493" w:rsidRPr="00DC4493" w:rsidRDefault="00DC4493" w:rsidP="00DC4493">
      <w:pPr>
        <w:pStyle w:val="BodyText"/>
        <w:rPr>
          <w:lang w:val="en-US"/>
        </w:rPr>
      </w:pPr>
      <w:r w:rsidRPr="00DC4493">
        <w:rPr>
          <w:lang w:val="en-US"/>
        </w:rPr>
        <w:t>As mentioned previously, the use of p-TRS is problematic in unlicensed operation, since if LBT fails prior to a particular period of TRS, then that period must be dropped, thus reducing the utility of p-TRS for their intended purpose of time/frequency tracking. Hence, it is beneficial for operation in unlicensed to relax the strict relationship between aperiodic and periodic TRS so that ap-TRS can be used without requiring that p-TRS be configured. We refer to this as “stand-alone” ap-TRS. With stand-alone ap-TRS, the TRS can be triggered during a gNB acquired COT such that the UE may reliably perform fine time/frequency tracking within a COT to support PDSCH demodulation. This is in contrast to p-TRS for which it is not guaranteed that a period of TRS aligns with the COT.</w:t>
      </w:r>
    </w:p>
    <w:p w14:paraId="44CC19A2" w14:textId="13A62469" w:rsidR="00DC4493" w:rsidRPr="00DC4493" w:rsidRDefault="00DC4493" w:rsidP="00DC4493">
      <w:pPr>
        <w:pStyle w:val="BodyText"/>
        <w:rPr>
          <w:lang w:val="en-US"/>
        </w:rPr>
      </w:pPr>
      <w:r w:rsidRPr="00DC4493">
        <w:rPr>
          <w:lang w:val="en-US"/>
        </w:rPr>
        <w:t>If the strict relationship is relaxed, a stand-alone ap-TRS still needs a source QCL reference to be configured, and it is natural that the same QCL source(s) as supported for p-TRS in NR Rel-15 should be allowed. The most common QCL source for p-TRS is an SS/PBCH block.</w:t>
      </w:r>
    </w:p>
    <w:p w14:paraId="172BBCF3" w14:textId="61207456" w:rsidR="00DC4493" w:rsidRDefault="00BF49B9" w:rsidP="00400986">
      <w:pPr>
        <w:pStyle w:val="Observation"/>
        <w:rPr>
          <w:lang w:val="en-US"/>
        </w:rPr>
      </w:pPr>
      <w:bookmarkStart w:id="53" w:name="_Toc16886764"/>
      <w:r>
        <w:rPr>
          <w:lang w:val="en-US"/>
        </w:rPr>
        <w:t>I</w:t>
      </w:r>
      <w:r w:rsidR="00DC4493" w:rsidRPr="00DC4493">
        <w:rPr>
          <w:lang w:val="en-US"/>
        </w:rPr>
        <w:t>t is beneficial to support a “stand-alone” configuration of a set of aperiodic CSI-RS resources for tracking (ap-TRS) in which co-configuration of a set of periodic CSI-RS resources for tracking (p-TRS) is not required.</w:t>
      </w:r>
      <w:bookmarkEnd w:id="53"/>
    </w:p>
    <w:p w14:paraId="5CFC118C" w14:textId="6ACEF326" w:rsidR="0096784B" w:rsidRDefault="0096784B" w:rsidP="00E662D3">
      <w:pPr>
        <w:pStyle w:val="BodyText"/>
        <w:rPr>
          <w:lang w:val="en-US"/>
        </w:rPr>
      </w:pPr>
      <w:r>
        <w:rPr>
          <w:lang w:val="en-US"/>
        </w:rPr>
        <w:t>W</w:t>
      </w:r>
      <w:r w:rsidR="00E662D3">
        <w:rPr>
          <w:lang w:val="en-US"/>
        </w:rPr>
        <w:t>e understand that the guidance given from RAN plenary is to treat this topic only if there is remaining time</w:t>
      </w:r>
      <w:r>
        <w:rPr>
          <w:lang w:val="en-US"/>
        </w:rPr>
        <w:t xml:space="preserve"> in the work item, hence at this point we simply make the above observation rather than a proposal.</w:t>
      </w:r>
    </w:p>
    <w:p w14:paraId="4F838BCA" w14:textId="25947312" w:rsidR="001142FC" w:rsidRPr="005E0680" w:rsidRDefault="00083A7E" w:rsidP="00083A7E">
      <w:pPr>
        <w:pStyle w:val="Heading1"/>
        <w:ind w:left="0" w:firstLine="0"/>
        <w:rPr>
          <w:lang w:val="en-US"/>
        </w:rPr>
      </w:pPr>
      <w:r>
        <w:rPr>
          <w:lang w:val="en-US"/>
        </w:rPr>
        <w:t>6</w:t>
      </w:r>
      <w:r>
        <w:rPr>
          <w:lang w:val="en-US"/>
        </w:rPr>
        <w:tab/>
      </w:r>
      <w:r>
        <w:rPr>
          <w:lang w:val="en-US"/>
        </w:rPr>
        <w:tab/>
      </w:r>
      <w:r w:rsidR="001142FC" w:rsidRPr="005E0680">
        <w:rPr>
          <w:lang w:val="en-US"/>
        </w:rPr>
        <w:t>Detection of gNB Transmission Burst</w:t>
      </w:r>
    </w:p>
    <w:p w14:paraId="7B697E55" w14:textId="0AFCD028" w:rsidR="001142FC" w:rsidRPr="005E0680" w:rsidRDefault="001142FC" w:rsidP="001142FC">
      <w:pPr>
        <w:pStyle w:val="BodyText"/>
        <w:rPr>
          <w:lang w:val="en-US" w:bidi="fa-IR"/>
        </w:rPr>
      </w:pPr>
      <w:r w:rsidRPr="005E0680">
        <w:rPr>
          <w:lang w:val="en-US"/>
        </w:rPr>
        <w:t xml:space="preserve">The following agreement was reached regarding the detection of a gNB transmission burst in RAN1#AH 1901 </w:t>
      </w:r>
      <w:r w:rsidRPr="005E0680">
        <w:rPr>
          <w:lang w:val="en-US"/>
        </w:rPr>
        <w:fldChar w:fldCharType="begin"/>
      </w:r>
      <w:r w:rsidRPr="005E0680">
        <w:rPr>
          <w:lang w:val="en-US"/>
        </w:rPr>
        <w:instrText xml:space="preserve"> REF _Ref1141170 \r \h </w:instrText>
      </w:r>
      <w:r w:rsidRPr="005E0680">
        <w:rPr>
          <w:lang w:val="en-US"/>
        </w:rPr>
      </w:r>
      <w:r w:rsidRPr="005E0680">
        <w:rPr>
          <w:lang w:val="en-US"/>
        </w:rPr>
        <w:fldChar w:fldCharType="separate"/>
      </w:r>
      <w:r w:rsidR="00431AC5">
        <w:rPr>
          <w:lang w:val="en-US"/>
        </w:rPr>
        <w:t>[5]</w:t>
      </w:r>
      <w:r w:rsidRPr="005E0680">
        <w:rPr>
          <w:lang w:val="en-US"/>
        </w:rPr>
        <w:fldChar w:fldCharType="end"/>
      </w:r>
      <w:r w:rsidRPr="005E0680">
        <w:rPr>
          <w:lang w:val="en-US" w:bidi="fa-IR"/>
        </w:rPr>
        <w:t>.</w:t>
      </w:r>
    </w:p>
    <w:p w14:paraId="192088EE" w14:textId="77777777" w:rsidR="001142FC" w:rsidRPr="005E0680" w:rsidRDefault="001142FC" w:rsidP="001142FC">
      <w:pPr>
        <w:pStyle w:val="BodyText"/>
        <w:rPr>
          <w:rFonts w:asciiTheme="majorBidi" w:hAnsiTheme="majorBidi" w:cstheme="majorBidi"/>
          <w:lang w:val="en-US"/>
        </w:rPr>
      </w:pPr>
      <w:r w:rsidRPr="005E0680">
        <w:rPr>
          <w:rFonts w:asciiTheme="majorBidi" w:hAnsiTheme="majorBidi" w:cstheme="majorBidi"/>
          <w:highlight w:val="green"/>
          <w:lang w:val="en-US"/>
        </w:rPr>
        <w:t>Agreement:</w:t>
      </w:r>
    </w:p>
    <w:p w14:paraId="1031C44B" w14:textId="77777777" w:rsidR="001142FC" w:rsidRPr="005E0680" w:rsidRDefault="001142FC" w:rsidP="001142FC">
      <w:pPr>
        <w:pStyle w:val="BodyText"/>
        <w:numPr>
          <w:ilvl w:val="0"/>
          <w:numId w:val="16"/>
        </w:numPr>
        <w:rPr>
          <w:rFonts w:asciiTheme="majorBidi" w:hAnsiTheme="majorBidi" w:cstheme="majorBidi"/>
          <w:i/>
          <w:iCs/>
          <w:lang w:val="en-US"/>
        </w:rPr>
      </w:pPr>
      <w:r w:rsidRPr="005E0680">
        <w:rPr>
          <w:rFonts w:asciiTheme="majorBidi" w:hAnsiTheme="majorBidi" w:cstheme="majorBidi"/>
          <w:i/>
          <w:iCs/>
          <w:lang w:val="en-US"/>
        </w:rPr>
        <w:t xml:space="preserve">The UE may assume the presence of a signal, </w:t>
      </w:r>
      <w:r w:rsidRPr="00085E5C">
        <w:rPr>
          <w:rFonts w:asciiTheme="majorBidi" w:hAnsiTheme="majorBidi" w:cstheme="majorBidi"/>
          <w:i/>
          <w:iCs/>
          <w:lang w:val="en-US"/>
        </w:rPr>
        <w:t>such as the DMRS in any [PDCCH or GC-PDCCH] transmission</w:t>
      </w:r>
      <w:r w:rsidRPr="005E0680">
        <w:rPr>
          <w:rFonts w:asciiTheme="majorBidi" w:hAnsiTheme="majorBidi" w:cstheme="majorBidi"/>
          <w:i/>
          <w:iCs/>
          <w:lang w:val="en-US"/>
        </w:rPr>
        <w:t>, to detect transmission bursts by the serving gNB, to enable power saving by not necessitating performing blind decodes to detect the transmission burst (Note: The power saving possibility by not necessitating blind decodes assumes performance relaxation for PDCCH decoding is not needed. Also, this does not mandate a two-step PDCCH decoding process for the UE with respect to DMRS detection).</w:t>
      </w:r>
    </w:p>
    <w:p w14:paraId="60441CB4" w14:textId="77777777" w:rsidR="001142FC" w:rsidRPr="005E0680" w:rsidRDefault="001142FC" w:rsidP="001142FC">
      <w:pPr>
        <w:pStyle w:val="BodyText"/>
        <w:numPr>
          <w:ilvl w:val="0"/>
          <w:numId w:val="15"/>
        </w:numPr>
        <w:rPr>
          <w:rFonts w:asciiTheme="majorBidi" w:hAnsiTheme="majorBidi" w:cstheme="majorBidi"/>
          <w:i/>
          <w:iCs/>
          <w:lang w:val="en-US"/>
        </w:rPr>
      </w:pPr>
      <w:r w:rsidRPr="005E0680">
        <w:rPr>
          <w:rFonts w:asciiTheme="majorBidi" w:hAnsiTheme="majorBidi" w:cstheme="majorBidi"/>
          <w:i/>
          <w:iCs/>
          <w:lang w:val="en-US"/>
        </w:rPr>
        <w:t>If a preamble transmitted at the start of a burst is agreed to be specified (this does not preclude usage of preambles by implementation), it may be used in addition to the DMRS of PDCCH/GC-PDCCH or any other signals in the gNB transmission to detect the start of transmission bursts by the serving gNB and potentially for power saving</w:t>
      </w:r>
    </w:p>
    <w:p w14:paraId="300E0CB8" w14:textId="77777777" w:rsidR="001142FC" w:rsidRPr="005E0680" w:rsidRDefault="001142FC" w:rsidP="001142FC">
      <w:pPr>
        <w:pStyle w:val="BodyText"/>
        <w:numPr>
          <w:ilvl w:val="1"/>
          <w:numId w:val="15"/>
        </w:numPr>
        <w:rPr>
          <w:rFonts w:asciiTheme="majorBidi" w:hAnsiTheme="majorBidi" w:cstheme="majorBidi"/>
          <w:i/>
          <w:iCs/>
          <w:lang w:val="en-US"/>
        </w:rPr>
      </w:pPr>
      <w:r w:rsidRPr="005E0680">
        <w:rPr>
          <w:rFonts w:asciiTheme="majorBidi" w:hAnsiTheme="majorBidi" w:cstheme="majorBidi"/>
          <w:i/>
          <w:iCs/>
          <w:lang w:val="en-US"/>
        </w:rPr>
        <w:t>Note: Whether a preamble, if defined, can be used for power saving in all cases depends on the details of the design.</w:t>
      </w:r>
    </w:p>
    <w:p w14:paraId="260AB4D4" w14:textId="77777777" w:rsidR="001142FC" w:rsidRPr="005E0680" w:rsidRDefault="001142FC" w:rsidP="001142FC">
      <w:pPr>
        <w:pStyle w:val="BodyText"/>
        <w:numPr>
          <w:ilvl w:val="0"/>
          <w:numId w:val="15"/>
        </w:numPr>
        <w:rPr>
          <w:rFonts w:asciiTheme="majorBidi" w:hAnsiTheme="majorBidi" w:cstheme="majorBidi"/>
          <w:i/>
          <w:iCs/>
          <w:lang w:val="en-US"/>
        </w:rPr>
      </w:pPr>
      <w:r w:rsidRPr="005E0680">
        <w:rPr>
          <w:rFonts w:asciiTheme="majorBidi" w:hAnsiTheme="majorBidi" w:cstheme="majorBidi"/>
          <w:i/>
          <w:iCs/>
          <w:lang w:val="en-US"/>
        </w:rPr>
        <w:t>Note: Other signals present in the transmission burst may also be used for the purpose of detection of the transmission burst</w:t>
      </w:r>
    </w:p>
    <w:p w14:paraId="03C7F585" w14:textId="77777777" w:rsidR="001142FC" w:rsidRPr="005E0680" w:rsidRDefault="001142FC" w:rsidP="001142FC">
      <w:pPr>
        <w:pStyle w:val="BodyText"/>
        <w:numPr>
          <w:ilvl w:val="0"/>
          <w:numId w:val="15"/>
        </w:numPr>
        <w:rPr>
          <w:rFonts w:asciiTheme="majorBidi" w:hAnsiTheme="majorBidi" w:cstheme="majorBidi"/>
          <w:i/>
          <w:iCs/>
          <w:lang w:val="en-US"/>
        </w:rPr>
      </w:pPr>
      <w:r w:rsidRPr="005E0680">
        <w:rPr>
          <w:rFonts w:asciiTheme="majorBidi" w:hAnsiTheme="majorBidi" w:cstheme="majorBidi"/>
          <w:i/>
          <w:iCs/>
          <w:lang w:val="en-US"/>
        </w:rPr>
        <w:t>FFS: Potential enhancements to DMRS design to address issues with detection probability</w:t>
      </w:r>
    </w:p>
    <w:p w14:paraId="2922B441" w14:textId="77777777" w:rsidR="001142FC" w:rsidRPr="005E0680" w:rsidRDefault="001142FC" w:rsidP="001142FC">
      <w:pPr>
        <w:pStyle w:val="BodyText"/>
        <w:numPr>
          <w:ilvl w:val="0"/>
          <w:numId w:val="16"/>
        </w:numPr>
        <w:rPr>
          <w:rFonts w:asciiTheme="majorBidi" w:hAnsiTheme="majorBidi" w:cstheme="majorBidi"/>
          <w:lang w:val="en-US"/>
        </w:rPr>
      </w:pPr>
      <w:r w:rsidRPr="005E0680">
        <w:rPr>
          <w:rFonts w:asciiTheme="majorBidi" w:hAnsiTheme="majorBidi" w:cstheme="majorBidi"/>
          <w:i/>
          <w:iCs/>
          <w:lang w:val="en-US"/>
        </w:rPr>
        <w:t>The payload of a PDCCH and/or GC-PDCCH transmission can contain information regarding COT structure that may be used by the UE for power saving</w:t>
      </w:r>
      <w:r w:rsidRPr="005E0680">
        <w:rPr>
          <w:rFonts w:asciiTheme="majorBidi" w:hAnsiTheme="majorBidi" w:cstheme="majorBidi"/>
          <w:lang w:val="en-US"/>
        </w:rPr>
        <w:t xml:space="preserve"> </w:t>
      </w:r>
    </w:p>
    <w:p w14:paraId="3369D949" w14:textId="77777777" w:rsidR="001142FC" w:rsidRDefault="001142FC" w:rsidP="001142FC">
      <w:pPr>
        <w:pStyle w:val="BodyText"/>
        <w:rPr>
          <w:lang w:val="en-US"/>
        </w:rPr>
      </w:pPr>
      <w:r>
        <w:rPr>
          <w:lang w:val="en-US"/>
        </w:rPr>
        <w:t>A</w:t>
      </w:r>
      <w:r w:rsidRPr="002C179D">
        <w:rPr>
          <w:lang w:val="en-US"/>
        </w:rPr>
        <w:t xml:space="preserve">s indicated in </w:t>
      </w:r>
      <w:r>
        <w:rPr>
          <w:lang w:val="en-US"/>
        </w:rPr>
        <w:t>this</w:t>
      </w:r>
      <w:r w:rsidRPr="002C179D">
        <w:rPr>
          <w:lang w:val="en-US"/>
        </w:rPr>
        <w:t xml:space="preserve"> agreement, </w:t>
      </w:r>
      <w:r w:rsidRPr="00506D5E">
        <w:rPr>
          <w:lang w:val="en-US"/>
        </w:rPr>
        <w:t xml:space="preserve">the detection of the DL Burst and/or any indication of a COT should not </w:t>
      </w:r>
      <w:r>
        <w:rPr>
          <w:lang w:val="en-US"/>
        </w:rPr>
        <w:t>relax the requirements of</w:t>
      </w:r>
      <w:r w:rsidRPr="00506D5E">
        <w:rPr>
          <w:lang w:val="en-US"/>
        </w:rPr>
        <w:t xml:space="preserve"> NR PDCCH monitoring detection requirements. </w:t>
      </w:r>
      <w:r>
        <w:rPr>
          <w:lang w:val="en-US"/>
        </w:rPr>
        <w:t>T</w:t>
      </w:r>
      <w:r w:rsidRPr="00506D5E">
        <w:rPr>
          <w:lang w:val="en-US"/>
        </w:rPr>
        <w:t xml:space="preserve">he UE </w:t>
      </w:r>
      <w:r>
        <w:rPr>
          <w:lang w:val="en-US"/>
        </w:rPr>
        <w:t>should implement</w:t>
      </w:r>
      <w:r w:rsidRPr="00506D5E">
        <w:rPr>
          <w:lang w:val="en-US"/>
        </w:rPr>
        <w:t xml:space="preserve"> any power saving feature</w:t>
      </w:r>
      <w:r>
        <w:rPr>
          <w:lang w:val="en-US"/>
        </w:rPr>
        <w:t>s</w:t>
      </w:r>
      <w:r w:rsidRPr="00506D5E">
        <w:rPr>
          <w:lang w:val="en-US"/>
        </w:rPr>
        <w:t xml:space="preserve"> without </w:t>
      </w:r>
      <w:r>
        <w:rPr>
          <w:lang w:val="en-US"/>
        </w:rPr>
        <w:t>violating</w:t>
      </w:r>
      <w:r w:rsidRPr="00506D5E">
        <w:rPr>
          <w:lang w:val="en-US"/>
        </w:rPr>
        <w:t xml:space="preserve"> any performance requirements related to PDCCH detection so that UE can always be scheduled </w:t>
      </w:r>
      <w:r>
        <w:rPr>
          <w:lang w:val="en-US"/>
        </w:rPr>
        <w:t>reliably</w:t>
      </w:r>
      <w:r w:rsidRPr="00506D5E">
        <w:rPr>
          <w:lang w:val="en-US"/>
        </w:rPr>
        <w:t xml:space="preserve"> regardless of </w:t>
      </w:r>
      <w:r>
        <w:rPr>
          <w:lang w:val="en-US"/>
        </w:rPr>
        <w:t>DL burst detection outcome</w:t>
      </w:r>
      <w:r w:rsidRPr="00506D5E">
        <w:rPr>
          <w:lang w:val="en-US"/>
        </w:rPr>
        <w:t>.</w:t>
      </w:r>
      <w:r>
        <w:rPr>
          <w:lang w:val="en-US"/>
        </w:rPr>
        <w:t xml:space="preserve"> </w:t>
      </w:r>
    </w:p>
    <w:p w14:paraId="7DF523C6" w14:textId="77777777" w:rsidR="00994569" w:rsidRDefault="00994569" w:rsidP="00994569">
      <w:pPr>
        <w:pStyle w:val="BodyText"/>
        <w:rPr>
          <w:lang w:val="en-US"/>
        </w:rPr>
      </w:pPr>
      <w:r>
        <w:rPr>
          <w:lang w:val="en-US"/>
        </w:rPr>
        <w:t>In the agreement above, the choice of PDCCH or GC-PDCCH has been recorded in square brackets. The UE will be configured for PDCCH monitoring and will also most likely be configured for GC-PDCCH monitoring. The UE can use the DMRS for either of these signals to achieve some power saving depending on the configuration. For instance, the UE can rely on the DMRS to detect the presence of a transmission first and then perform blind decoding only if the DMRS is detected. To ensure performance requirements are not violated this can be done only when the SINR is high and the threshold for this is up to UE implementation.</w:t>
      </w:r>
    </w:p>
    <w:p w14:paraId="1A7AE341" w14:textId="7F576CB5" w:rsidR="00994569" w:rsidRPr="00506D5E" w:rsidRDefault="00994569" w:rsidP="00D7404B">
      <w:pPr>
        <w:pStyle w:val="BodyText"/>
        <w:rPr>
          <w:lang w:val="en-US"/>
        </w:rPr>
      </w:pPr>
      <w:r>
        <w:rPr>
          <w:lang w:val="en-US"/>
        </w:rPr>
        <w:t>The agreement above also lists potential enhancements to the DMRS design as left for further study. Considering that GC-PDCCH and PDCCH search space configurations will span a very wide bandwidth, such enhancements are not necessary. The UE can likely achieve meaningful power savings when operating over quite a large SINR range simply using the current DMRS design for PDCCH. Even using a wideband DMRS is unnecessary since it restricts the option of performing UE-specific beamforming on PDCCH to enhanced coverage and reliability as well as reduce interference. It’s questionable whether power saving benefits (if there are any) out-weigh the negative impacts to the overall system</w:t>
      </w:r>
    </w:p>
    <w:p w14:paraId="7863215D" w14:textId="736D85BC" w:rsidR="001142FC" w:rsidRDefault="006173FF" w:rsidP="001142FC">
      <w:pPr>
        <w:pStyle w:val="BodyText"/>
        <w:rPr>
          <w:lang w:val="en-US"/>
        </w:rPr>
      </w:pPr>
      <w:r>
        <w:rPr>
          <w:lang w:val="en-US"/>
        </w:rPr>
        <w:t>There has been a concern regarding a potential increase in power consumption due to PDCCH monitoring for Type B PDSCH. It should be noted however, that the complexity increase is not significant, if there is any increase at all, if the overall number of blind</w:t>
      </w:r>
      <w:r w:rsidR="009D7644">
        <w:rPr>
          <w:lang w:val="en-US"/>
        </w:rPr>
        <w:t>-</w:t>
      </w:r>
      <w:r>
        <w:rPr>
          <w:lang w:val="en-US"/>
        </w:rPr>
        <w:t>decodes for a slot is not increased. And to begin with, this has been a fundamental source of the concern that has led to the entire power savings discussion. We therefore propose the following.</w:t>
      </w:r>
    </w:p>
    <w:p w14:paraId="232CB10A" w14:textId="45651E2C" w:rsidR="00C00167" w:rsidRDefault="00294522" w:rsidP="00294522">
      <w:pPr>
        <w:pStyle w:val="Observation"/>
        <w:rPr>
          <w:lang w:val="en-US"/>
        </w:rPr>
      </w:pPr>
      <w:bookmarkStart w:id="54" w:name="_Toc16886765"/>
      <w:r w:rsidRPr="00294522">
        <w:rPr>
          <w:lang w:val="en-US"/>
        </w:rPr>
        <w:t>There is no significant increase in power consumption due to monitoring of Type B PDSCH if the requirements on the number of blind</w:t>
      </w:r>
      <w:r>
        <w:rPr>
          <w:lang w:val="en-US"/>
        </w:rPr>
        <w:t>-</w:t>
      </w:r>
      <w:r w:rsidRPr="00294522">
        <w:rPr>
          <w:lang w:val="en-US"/>
        </w:rPr>
        <w:t>decodes per slot</w:t>
      </w:r>
      <w:r w:rsidR="00631661">
        <w:rPr>
          <w:lang w:val="en-US"/>
        </w:rPr>
        <w:t>,</w:t>
      </w:r>
      <w:r w:rsidRPr="00294522">
        <w:rPr>
          <w:lang w:val="en-US"/>
        </w:rPr>
        <w:t xml:space="preserve"> defined in Rel-15 when performing PDCCH monitoring for Type B PDSCH in addition to Type A PDSCH</w:t>
      </w:r>
      <w:r w:rsidR="00631661">
        <w:rPr>
          <w:lang w:val="en-US"/>
        </w:rPr>
        <w:t>,</w:t>
      </w:r>
      <w:r w:rsidRPr="00294522">
        <w:rPr>
          <w:lang w:val="en-US"/>
        </w:rPr>
        <w:t xml:space="preserve"> are not significantly increased.</w:t>
      </w:r>
      <w:bookmarkEnd w:id="54"/>
    </w:p>
    <w:p w14:paraId="5300F849" w14:textId="14EDF058" w:rsidR="00C01F33" w:rsidRPr="005E0680" w:rsidRDefault="00C01F33" w:rsidP="00A5623E">
      <w:pPr>
        <w:pStyle w:val="Heading1"/>
        <w:rPr>
          <w:lang w:val="en-US"/>
        </w:rPr>
      </w:pPr>
      <w:r w:rsidRPr="005E0680">
        <w:rPr>
          <w:lang w:val="en-US"/>
        </w:rPr>
        <w:t>Conclusion</w:t>
      </w:r>
    </w:p>
    <w:p w14:paraId="6741DDDC" w14:textId="77777777" w:rsidR="008E065E" w:rsidRPr="005E0680" w:rsidRDefault="008E065E" w:rsidP="008E065E">
      <w:pPr>
        <w:pStyle w:val="BodyText"/>
        <w:rPr>
          <w:b/>
          <w:bCs/>
          <w:lang w:val="en-US"/>
        </w:rPr>
      </w:pPr>
      <w:r w:rsidRPr="005E0680">
        <w:rPr>
          <w:lang w:val="en-US"/>
        </w:rPr>
        <w:t xml:space="preserve">In </w:t>
      </w:r>
      <w:r w:rsidR="007729A2" w:rsidRPr="005E0680">
        <w:rPr>
          <w:lang w:val="en-US"/>
        </w:rPr>
        <w:t xml:space="preserve">the previous </w:t>
      </w:r>
      <w:r w:rsidRPr="005E0680">
        <w:rPr>
          <w:lang w:val="en-US"/>
        </w:rPr>
        <w:t>section</w:t>
      </w:r>
      <w:r w:rsidR="007729A2" w:rsidRPr="005E0680">
        <w:rPr>
          <w:lang w:val="en-US"/>
        </w:rPr>
        <w:t>s</w:t>
      </w:r>
      <w:r w:rsidRPr="005E0680">
        <w:rPr>
          <w:lang w:val="en-US"/>
        </w:rPr>
        <w:t xml:space="preserve"> we made the following observations:</w:t>
      </w:r>
      <w:r w:rsidR="00C93814" w:rsidRPr="005E0680">
        <w:rPr>
          <w:b/>
          <w:bCs/>
          <w:lang w:val="en-US"/>
        </w:rPr>
        <w:t xml:space="preserve"> </w:t>
      </w:r>
    </w:p>
    <w:p w14:paraId="2CE12159" w14:textId="77777777" w:rsidR="001B2F7D" w:rsidRDefault="006F6582">
      <w:pPr>
        <w:pStyle w:val="TableofFigures"/>
        <w:tabs>
          <w:tab w:val="right" w:leader="dot" w:pos="9629"/>
        </w:tabs>
        <w:rPr>
          <w:rFonts w:asciiTheme="minorHAnsi" w:eastAsiaTheme="minorEastAsia" w:hAnsiTheme="minorHAnsi" w:cstheme="minorBidi"/>
          <w:b w:val="0"/>
          <w:sz w:val="22"/>
          <w:szCs w:val="22"/>
          <w:lang w:val="en-US" w:eastAsia="en-US"/>
        </w:rPr>
      </w:pPr>
      <w:r w:rsidRPr="005E0680">
        <w:rPr>
          <w:b w:val="0"/>
          <w:bCs/>
          <w:lang w:val="en-US"/>
        </w:rPr>
        <w:fldChar w:fldCharType="begin"/>
      </w:r>
      <w:r w:rsidRPr="005E0680">
        <w:rPr>
          <w:b w:val="0"/>
          <w:bCs/>
          <w:lang w:val="en-US"/>
        </w:rPr>
        <w:instrText xml:space="preserve"> TOC \f O \n \h \z \t "Observation" \c </w:instrText>
      </w:r>
      <w:r w:rsidRPr="005E0680">
        <w:rPr>
          <w:bCs/>
          <w:lang w:val="en-US"/>
        </w:rPr>
        <w:fldChar w:fldCharType="separate"/>
      </w:r>
      <w:hyperlink w:anchor="_Toc16886757" w:history="1">
        <w:r w:rsidR="001B2F7D" w:rsidRPr="009A1566">
          <w:rPr>
            <w:rStyle w:val="Hyperlink"/>
            <w:noProof/>
            <w:lang w:val="en-US"/>
          </w:rPr>
          <w:t>Observation 1</w:t>
        </w:r>
        <w:r w:rsidR="001B2F7D">
          <w:rPr>
            <w:rFonts w:asciiTheme="minorHAnsi" w:eastAsiaTheme="minorEastAsia" w:hAnsiTheme="minorHAnsi" w:cstheme="minorBidi"/>
            <w:b w:val="0"/>
            <w:sz w:val="22"/>
            <w:szCs w:val="22"/>
            <w:lang w:val="en-US" w:eastAsia="en-US"/>
          </w:rPr>
          <w:tab/>
        </w:r>
        <w:r w:rsidR="001B2F7D" w:rsidRPr="009A1566">
          <w:rPr>
            <w:rStyle w:val="Hyperlink"/>
            <w:noProof/>
            <w:lang w:val="en-US"/>
          </w:rPr>
          <w:t xml:space="preserve">For length 9 and 10 PDSCH Type B scheduling with one additional DMRS, the position(s) of the DMRS is </w:t>
        </w:r>
        <m:oMath>
          <m:r>
            <m:rPr>
              <m:sty m:val="bi"/>
            </m:rPr>
            <w:rPr>
              <w:rStyle w:val="Hyperlink"/>
              <w:rFonts w:ascii="Cambria Math" w:hAnsi="Cambria Math"/>
              <w:noProof/>
              <w:lang w:val="en-US"/>
            </w:rPr>
            <m:t>l</m:t>
          </m:r>
          <m:r>
            <m:rPr>
              <m:sty m:val="bi"/>
            </m:rPr>
            <w:rPr>
              <w:rStyle w:val="Hyperlink"/>
              <w:rFonts w:ascii="Cambria Math" w:hAnsi="Cambria Math"/>
              <w:noProof/>
              <w:lang w:val="en-US"/>
            </w:rPr>
            <m:t>0</m:t>
          </m:r>
        </m:oMath>
        <w:r w:rsidR="001B2F7D" w:rsidRPr="009A1566">
          <w:rPr>
            <w:rStyle w:val="Hyperlink"/>
            <w:noProof/>
            <w:lang w:val="en-US"/>
          </w:rPr>
          <w:t xml:space="preserve"> and  </w:t>
        </w:r>
        <m:oMath>
          <m:r>
            <m:rPr>
              <m:sty m:val="bi"/>
            </m:rPr>
            <w:rPr>
              <w:rStyle w:val="Hyperlink"/>
              <w:rFonts w:ascii="Cambria Math" w:hAnsi="Cambria Math"/>
              <w:noProof/>
              <w:lang w:val="en-US"/>
            </w:rPr>
            <m:t>l</m:t>
          </m:r>
          <m:r>
            <m:rPr>
              <m:sty m:val="bi"/>
            </m:rPr>
            <w:rPr>
              <w:rStyle w:val="Hyperlink"/>
              <w:rFonts w:ascii="Cambria Math" w:hAnsi="Cambria Math"/>
              <w:noProof/>
              <w:lang w:val="en-US"/>
            </w:rPr>
            <m:t>0,7</m:t>
          </m:r>
        </m:oMath>
        <w:r w:rsidR="001B2F7D" w:rsidRPr="009A1566">
          <w:rPr>
            <w:rStyle w:val="Hyperlink"/>
            <w:noProof/>
            <w:lang w:val="en-US"/>
          </w:rPr>
          <w:t xml:space="preserve"> for </w:t>
        </w:r>
        <w:r w:rsidR="001B2F7D" w:rsidRPr="009A1566">
          <w:rPr>
            <w:rStyle w:val="Hyperlink"/>
            <w:i/>
            <w:iCs/>
            <w:noProof/>
            <w:lang w:val="en-US" w:eastAsia="en-GB"/>
          </w:rPr>
          <w:t>dmrs-AdditionalPosition</w:t>
        </w:r>
        <w:r w:rsidR="001B2F7D" w:rsidRPr="009A1566">
          <w:rPr>
            <w:rStyle w:val="Hyperlink"/>
            <w:noProof/>
            <w:lang w:val="en-US"/>
          </w:rPr>
          <w:t xml:space="preserve"> = ‘pos0’ and ‘pos1’ respectively fulfills TEI-16 DSS requirement. Here </w:t>
        </w:r>
        <m:oMath>
          <m:r>
            <m:rPr>
              <m:sty m:val="bi"/>
            </m:rPr>
            <w:rPr>
              <w:rStyle w:val="Hyperlink"/>
              <w:rFonts w:ascii="Cambria Math" w:hAnsi="Cambria Math"/>
              <w:noProof/>
              <w:lang w:val="en-US"/>
            </w:rPr>
            <m:t>l</m:t>
          </m:r>
          <m:r>
            <m:rPr>
              <m:sty m:val="bi"/>
            </m:rPr>
            <w:rPr>
              <w:rStyle w:val="Hyperlink"/>
              <w:rFonts w:ascii="Cambria Math" w:hAnsi="Cambria Math"/>
              <w:noProof/>
              <w:lang w:val="en-US"/>
            </w:rPr>
            <m:t>0</m:t>
          </m:r>
        </m:oMath>
        <w:r w:rsidR="001B2F7D" w:rsidRPr="009A1566">
          <w:rPr>
            <w:rStyle w:val="Hyperlink"/>
            <w:noProof/>
            <w:lang w:val="en-US"/>
          </w:rPr>
          <w:t xml:space="preserve">  is the position of the first DMRS in the scheduled duration as in Rel-15, following the Rel-15 behavior.</w:t>
        </w:r>
      </w:hyperlink>
    </w:p>
    <w:p w14:paraId="53C92753"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58" w:history="1">
        <w:r w:rsidR="001B2F7D" w:rsidRPr="009A1566">
          <w:rPr>
            <w:rStyle w:val="Hyperlink"/>
            <w:noProof/>
            <w:lang w:val="en-US"/>
          </w:rPr>
          <w:t>Observation 2</w:t>
        </w:r>
        <w:r w:rsidR="001B2F7D">
          <w:rPr>
            <w:rFonts w:asciiTheme="minorHAnsi" w:eastAsiaTheme="minorEastAsia" w:hAnsiTheme="minorHAnsi" w:cstheme="minorBidi"/>
            <w:b w:val="0"/>
            <w:sz w:val="22"/>
            <w:szCs w:val="22"/>
            <w:lang w:val="en-US" w:eastAsia="en-US"/>
          </w:rPr>
          <w:tab/>
        </w:r>
        <w:r w:rsidR="001B2F7D" w:rsidRPr="009A1566">
          <w:rPr>
            <w:rStyle w:val="Hyperlink"/>
            <w:noProof/>
            <w:lang w:val="en-US"/>
          </w:rPr>
          <w:t xml:space="preserve">The proposed DMRS positions </w:t>
        </w:r>
        <m:oMath>
          <m:r>
            <m:rPr>
              <m:sty m:val="bi"/>
            </m:rPr>
            <w:rPr>
              <w:rStyle w:val="Hyperlink"/>
              <w:rFonts w:ascii="Cambria Math" w:hAnsi="Cambria Math"/>
              <w:noProof/>
              <w:lang w:val="en-US"/>
            </w:rPr>
            <m:t>l</m:t>
          </m:r>
          <m:r>
            <m:rPr>
              <m:sty m:val="bi"/>
            </m:rPr>
            <w:rPr>
              <w:rStyle w:val="Hyperlink"/>
              <w:rFonts w:ascii="Cambria Math" w:hAnsi="Cambria Math"/>
              <w:noProof/>
              <w:lang w:val="en-US"/>
            </w:rPr>
            <m:t>0,7</m:t>
          </m:r>
        </m:oMath>
        <w:r w:rsidR="001B2F7D" w:rsidRPr="009A1566">
          <w:rPr>
            <w:rStyle w:val="Hyperlink"/>
            <w:noProof/>
            <w:lang w:val="en-US"/>
          </w:rPr>
          <w:t xml:space="preserve"> is shown by evaluations to have the best throughput performance of all positions, for both PDSCH Type B of length 9 and length 10</w:t>
        </w:r>
      </w:hyperlink>
    </w:p>
    <w:p w14:paraId="66F68CBE"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59" w:history="1">
        <w:r w:rsidR="001B2F7D" w:rsidRPr="009A1566">
          <w:rPr>
            <w:rStyle w:val="Hyperlink"/>
            <w:noProof/>
            <w:lang w:val="en-US"/>
          </w:rPr>
          <w:t>Observation 3</w:t>
        </w:r>
        <w:r w:rsidR="001B2F7D">
          <w:rPr>
            <w:rFonts w:asciiTheme="minorHAnsi" w:eastAsiaTheme="minorEastAsia" w:hAnsiTheme="minorHAnsi" w:cstheme="minorBidi"/>
            <w:b w:val="0"/>
            <w:sz w:val="22"/>
            <w:szCs w:val="22"/>
            <w:lang w:val="en-US" w:eastAsia="en-US"/>
          </w:rPr>
          <w:tab/>
        </w:r>
        <w:r w:rsidR="001B2F7D" w:rsidRPr="009A1566">
          <w:rPr>
            <w:rStyle w:val="Hyperlink"/>
            <w:noProof/>
            <w:lang w:val="en-US"/>
          </w:rPr>
          <w:t>Dynamic indication of the cancellation of the more frequent (mini-slot based) PDCCH monitoring occasions via GC-PDCCH signaling is already possible through existing procedures in Rel-15. No further enhancements are necessary for controlling PDCCH monitoring frequency in Rel-16.</w:t>
        </w:r>
      </w:hyperlink>
    </w:p>
    <w:p w14:paraId="1B823CF4"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60" w:history="1">
        <w:r w:rsidR="001B2F7D" w:rsidRPr="009A1566">
          <w:rPr>
            <w:rStyle w:val="Hyperlink"/>
            <w:noProof/>
            <w:lang w:val="en-US"/>
          </w:rPr>
          <w:t>Observation 4</w:t>
        </w:r>
        <w:r w:rsidR="001B2F7D">
          <w:rPr>
            <w:rFonts w:asciiTheme="minorHAnsi" w:eastAsiaTheme="minorEastAsia" w:hAnsiTheme="minorHAnsi" w:cstheme="minorBidi"/>
            <w:b w:val="0"/>
            <w:sz w:val="22"/>
            <w:szCs w:val="22"/>
            <w:lang w:val="en-US" w:eastAsia="en-US"/>
          </w:rPr>
          <w:tab/>
        </w:r>
        <w:r w:rsidR="001B2F7D" w:rsidRPr="009A1566">
          <w:rPr>
            <w:rStyle w:val="Hyperlink"/>
            <w:noProof/>
            <w:lang w:val="en-US"/>
          </w:rPr>
          <w:t>SFI values in Rel-15 provide enough flexibility for slot format indication within the COT for NRU.</w:t>
        </w:r>
      </w:hyperlink>
    </w:p>
    <w:p w14:paraId="6E690DA4"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61" w:history="1">
        <w:r w:rsidR="001B2F7D" w:rsidRPr="009A1566">
          <w:rPr>
            <w:rStyle w:val="Hyperlink"/>
            <w:noProof/>
          </w:rPr>
          <w:t>Observation 5</w:t>
        </w:r>
        <w:r w:rsidR="001B2F7D">
          <w:rPr>
            <w:rFonts w:asciiTheme="minorHAnsi" w:eastAsiaTheme="minorEastAsia" w:hAnsiTheme="minorHAnsi" w:cstheme="minorBidi"/>
            <w:b w:val="0"/>
            <w:sz w:val="22"/>
            <w:szCs w:val="22"/>
            <w:lang w:val="en-US" w:eastAsia="en-US"/>
          </w:rPr>
          <w:tab/>
        </w:r>
        <w:r w:rsidR="001B2F7D" w:rsidRPr="009A1566">
          <w:rPr>
            <w:rStyle w:val="Hyperlink"/>
            <w:noProof/>
          </w:rPr>
          <w:t>With a small extension, DCI format 2_0 in Rel-15 already provides enough flexibility to support a mechanism to inform the UE that one or more carriers and/or LBT bandwidths are not available or available for DL reception</w:t>
        </w:r>
      </w:hyperlink>
    </w:p>
    <w:p w14:paraId="4F3D44D6"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62" w:history="1">
        <w:r w:rsidR="001B2F7D" w:rsidRPr="009A1566">
          <w:rPr>
            <w:rStyle w:val="Hyperlink"/>
            <w:noProof/>
          </w:rPr>
          <w:t>Observation 6</w:t>
        </w:r>
        <w:r w:rsidR="001B2F7D">
          <w:rPr>
            <w:rFonts w:asciiTheme="minorHAnsi" w:eastAsiaTheme="minorEastAsia" w:hAnsiTheme="minorHAnsi" w:cstheme="minorBidi"/>
            <w:b w:val="0"/>
            <w:sz w:val="22"/>
            <w:szCs w:val="22"/>
            <w:lang w:val="en-US" w:eastAsia="en-US"/>
          </w:rPr>
          <w:tab/>
        </w:r>
        <w:r w:rsidR="001B2F7D" w:rsidRPr="009A1566">
          <w:rPr>
            <w:rStyle w:val="Hyperlink"/>
            <w:noProof/>
          </w:rPr>
          <w:t>In case UE is not configured with GC-PDCCH, or configured but does not receive GC-PDCCH, UE monitors PDCCH on all carriers and/or LBT bandwidths according to provided configurations. There is no need to specify any UE behaviour in this regard.</w:t>
        </w:r>
      </w:hyperlink>
    </w:p>
    <w:p w14:paraId="7C86B41C"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63" w:history="1">
        <w:r w:rsidR="001B2F7D" w:rsidRPr="009A1566">
          <w:rPr>
            <w:rStyle w:val="Hyperlink"/>
            <w:noProof/>
            <w:lang w:val="en-US"/>
          </w:rPr>
          <w:t>Observation 7</w:t>
        </w:r>
        <w:r w:rsidR="001B2F7D">
          <w:rPr>
            <w:rFonts w:asciiTheme="minorHAnsi" w:eastAsiaTheme="minorEastAsia" w:hAnsiTheme="minorHAnsi" w:cstheme="minorBidi"/>
            <w:b w:val="0"/>
            <w:sz w:val="22"/>
            <w:szCs w:val="22"/>
            <w:lang w:val="en-US" w:eastAsia="en-US"/>
          </w:rPr>
          <w:tab/>
        </w:r>
        <w:r w:rsidR="001B2F7D" w:rsidRPr="009A1566">
          <w:rPr>
            <w:rStyle w:val="Hyperlink"/>
            <w:noProof/>
            <w:lang w:val="en-US"/>
          </w:rPr>
          <w:t>Due to the asynchronous nature of transmission in unlicensed band p-TRS transmission cannot be guaranteed. Therefore UE should be able to make use of both p-TRS and ap-TRS, whenever they are transmitted by the gNB, for time/frequency tracking for demodulation of downlink channels. No specified behavior change is needed compared to Rel-15.</w:t>
        </w:r>
      </w:hyperlink>
    </w:p>
    <w:p w14:paraId="56B8855D"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64" w:history="1">
        <w:r w:rsidR="001B2F7D" w:rsidRPr="009A1566">
          <w:rPr>
            <w:rStyle w:val="Hyperlink"/>
            <w:noProof/>
            <w:lang w:val="en-US"/>
          </w:rPr>
          <w:t>Observation 8</w:t>
        </w:r>
        <w:r w:rsidR="001B2F7D">
          <w:rPr>
            <w:rFonts w:asciiTheme="minorHAnsi" w:eastAsiaTheme="minorEastAsia" w:hAnsiTheme="minorHAnsi" w:cstheme="minorBidi"/>
            <w:b w:val="0"/>
            <w:sz w:val="22"/>
            <w:szCs w:val="22"/>
            <w:lang w:val="en-US" w:eastAsia="en-US"/>
          </w:rPr>
          <w:tab/>
        </w:r>
        <w:r w:rsidR="001B2F7D" w:rsidRPr="009A1566">
          <w:rPr>
            <w:rStyle w:val="Hyperlink"/>
            <w:noProof/>
            <w:lang w:val="en-US"/>
          </w:rPr>
          <w:t>It is beneficial to support a “stand-alone” configuration of a set of aperiodic CSI-RS resources for tracking (ap-TRS) in which co-configuration of a set of periodic CSI-RS resources for tracking (p-TRS) is not required.</w:t>
        </w:r>
      </w:hyperlink>
    </w:p>
    <w:p w14:paraId="7FE12FE6"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65" w:history="1">
        <w:r w:rsidR="001B2F7D" w:rsidRPr="009A1566">
          <w:rPr>
            <w:rStyle w:val="Hyperlink"/>
            <w:noProof/>
            <w:lang w:val="en-US"/>
          </w:rPr>
          <w:t>Observation 9</w:t>
        </w:r>
        <w:r w:rsidR="001B2F7D">
          <w:rPr>
            <w:rFonts w:asciiTheme="minorHAnsi" w:eastAsiaTheme="minorEastAsia" w:hAnsiTheme="minorHAnsi" w:cstheme="minorBidi"/>
            <w:b w:val="0"/>
            <w:sz w:val="22"/>
            <w:szCs w:val="22"/>
            <w:lang w:val="en-US" w:eastAsia="en-US"/>
          </w:rPr>
          <w:tab/>
        </w:r>
        <w:r w:rsidR="001B2F7D" w:rsidRPr="009A1566">
          <w:rPr>
            <w:rStyle w:val="Hyperlink"/>
            <w:noProof/>
            <w:lang w:val="en-US"/>
          </w:rPr>
          <w:t>There is no significant increase in power consumption due to monitoring of Type B PDSCH if the requirements on the number of blind-decodes per slot, defined in Rel-15 when performing PDCCH monitoring for Type B PDSCH in addition to Type A PDSCH, are not significantly increased.</w:t>
        </w:r>
      </w:hyperlink>
    </w:p>
    <w:p w14:paraId="7AFEA5AA" w14:textId="1339D65B" w:rsidR="006E1C82" w:rsidRPr="005E0680" w:rsidRDefault="006F6582" w:rsidP="006E1C82">
      <w:pPr>
        <w:pStyle w:val="BodyText"/>
        <w:rPr>
          <w:lang w:val="en-US"/>
        </w:rPr>
      </w:pPr>
      <w:r w:rsidRPr="005E0680">
        <w:rPr>
          <w:lang w:val="en-US"/>
        </w:rPr>
        <w:fldChar w:fldCharType="end"/>
      </w:r>
      <w:r w:rsidR="008E065E" w:rsidRPr="005E0680">
        <w:rPr>
          <w:lang w:val="en-US"/>
        </w:rPr>
        <w:t xml:space="preserve">Based on the discussion in </w:t>
      </w:r>
      <w:r w:rsidR="007729A2" w:rsidRPr="005E0680">
        <w:rPr>
          <w:lang w:val="en-US"/>
        </w:rPr>
        <w:t xml:space="preserve">the previous </w:t>
      </w:r>
      <w:r w:rsidR="008E065E" w:rsidRPr="005E0680">
        <w:rPr>
          <w:lang w:val="en-US"/>
        </w:rPr>
        <w:t>section</w:t>
      </w:r>
      <w:r w:rsidR="007729A2" w:rsidRPr="005E0680">
        <w:rPr>
          <w:lang w:val="en-US"/>
        </w:rPr>
        <w:t>s</w:t>
      </w:r>
      <w:r w:rsidR="008E065E" w:rsidRPr="005E0680">
        <w:rPr>
          <w:lang w:val="en-US"/>
        </w:rPr>
        <w:t xml:space="preserve"> we propose the following:</w:t>
      </w:r>
    </w:p>
    <w:p w14:paraId="2B347F45" w14:textId="77777777" w:rsidR="001B2F7D" w:rsidRDefault="006E1C82">
      <w:pPr>
        <w:pStyle w:val="TableofFigures"/>
        <w:tabs>
          <w:tab w:val="right" w:leader="dot" w:pos="9629"/>
        </w:tabs>
        <w:rPr>
          <w:rFonts w:asciiTheme="minorHAnsi" w:eastAsiaTheme="minorEastAsia" w:hAnsiTheme="minorHAnsi" w:cstheme="minorBidi"/>
          <w:b w:val="0"/>
          <w:sz w:val="22"/>
          <w:szCs w:val="22"/>
          <w:lang w:val="en-US" w:eastAsia="en-US"/>
        </w:rPr>
      </w:pPr>
      <w:r w:rsidRPr="005E0680">
        <w:rPr>
          <w:b w:val="0"/>
          <w:bCs/>
          <w:lang w:val="en-US"/>
        </w:rPr>
        <w:fldChar w:fldCharType="begin"/>
      </w:r>
      <w:r w:rsidRPr="005E0680">
        <w:rPr>
          <w:b w:val="0"/>
          <w:bCs/>
          <w:lang w:val="en-US"/>
        </w:rPr>
        <w:instrText xml:space="preserve"> TOC \n \h \z \t "Proposal" \c </w:instrText>
      </w:r>
      <w:r w:rsidRPr="005E0680">
        <w:rPr>
          <w:b w:val="0"/>
          <w:bCs/>
          <w:lang w:val="en-US"/>
        </w:rPr>
        <w:fldChar w:fldCharType="separate"/>
      </w:r>
      <w:hyperlink w:anchor="_Toc16886766" w:history="1">
        <w:r w:rsidR="001B2F7D" w:rsidRPr="00ED73CF">
          <w:rPr>
            <w:rStyle w:val="Hyperlink"/>
            <w:noProof/>
            <w:lang w:val="en-US"/>
          </w:rPr>
          <w:t>Proposal 1</w:t>
        </w:r>
        <w:r w:rsidR="001B2F7D">
          <w:rPr>
            <w:rFonts w:asciiTheme="minorHAnsi" w:eastAsiaTheme="minorEastAsia" w:hAnsiTheme="minorHAnsi" w:cstheme="minorBidi"/>
            <w:b w:val="0"/>
            <w:sz w:val="22"/>
            <w:szCs w:val="22"/>
            <w:lang w:val="en-US" w:eastAsia="en-US"/>
          </w:rPr>
          <w:tab/>
        </w:r>
        <w:r w:rsidR="001B2F7D" w:rsidRPr="00ED73CF">
          <w:rPr>
            <w:rStyle w:val="Hyperlink"/>
            <w:noProof/>
            <w:lang w:val="en-US"/>
          </w:rPr>
          <w:t>The PDSCH DM-RS positions for single and double symbol DMRS are given in Table 1 and 2 respectively.</w:t>
        </w:r>
      </w:hyperlink>
    </w:p>
    <w:p w14:paraId="1803332A"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67" w:history="1">
        <w:r w:rsidR="001B2F7D" w:rsidRPr="00ED73CF">
          <w:rPr>
            <w:rStyle w:val="Hyperlink"/>
            <w:noProof/>
            <w:lang w:val="en-US"/>
          </w:rPr>
          <w:t>Proposal 2</w:t>
        </w:r>
        <w:r w:rsidR="001B2F7D">
          <w:rPr>
            <w:rFonts w:asciiTheme="minorHAnsi" w:eastAsiaTheme="minorEastAsia" w:hAnsiTheme="minorHAnsi" w:cstheme="minorBidi"/>
            <w:b w:val="0"/>
            <w:sz w:val="22"/>
            <w:szCs w:val="22"/>
            <w:lang w:val="en-US" w:eastAsia="en-US"/>
          </w:rPr>
          <w:tab/>
        </w:r>
        <w:r w:rsidR="001B2F7D" w:rsidRPr="00ED73CF">
          <w:rPr>
            <w:rStyle w:val="Hyperlink"/>
            <w:noProof/>
            <w:lang w:val="en-US"/>
          </w:rPr>
          <w:t>LBT categories that can be performed within the COT are informed to UEs using DCI format 2_0</w:t>
        </w:r>
      </w:hyperlink>
    </w:p>
    <w:p w14:paraId="4DCE9578"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68" w:history="1">
        <w:r w:rsidR="001B2F7D" w:rsidRPr="00ED73CF">
          <w:rPr>
            <w:rStyle w:val="Hyperlink"/>
            <w:noProof/>
            <w:lang w:val="en-US"/>
          </w:rPr>
          <w:t>a.</w:t>
        </w:r>
        <w:r w:rsidR="001B2F7D">
          <w:rPr>
            <w:rFonts w:asciiTheme="minorHAnsi" w:eastAsiaTheme="minorEastAsia" w:hAnsiTheme="minorHAnsi" w:cstheme="minorBidi"/>
            <w:b w:val="0"/>
            <w:sz w:val="22"/>
            <w:szCs w:val="22"/>
            <w:lang w:val="en-US" w:eastAsia="en-US"/>
          </w:rPr>
          <w:tab/>
        </w:r>
        <w:r w:rsidR="001B2F7D" w:rsidRPr="00ED73CF">
          <w:rPr>
            <w:rStyle w:val="Hyperlink"/>
            <w:noProof/>
            <w:lang w:val="en-US"/>
          </w:rPr>
          <w:t xml:space="preserve">Slot property indices are defined, and each index is mapped to a different LBT category as shown in </w:t>
        </w:r>
        <w:r w:rsidR="001B2F7D" w:rsidRPr="00ED73CF">
          <w:rPr>
            <w:rStyle w:val="Hyperlink"/>
            <w:noProof/>
          </w:rPr>
          <w:t>Table 4</w:t>
        </w:r>
        <w:r w:rsidR="001B2F7D" w:rsidRPr="00ED73CF">
          <w:rPr>
            <w:rStyle w:val="Hyperlink"/>
            <w:noProof/>
            <w:lang w:val="en-US"/>
          </w:rPr>
          <w:t>.</w:t>
        </w:r>
      </w:hyperlink>
    </w:p>
    <w:p w14:paraId="0948F3D0"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69" w:history="1">
        <w:r w:rsidR="001B2F7D" w:rsidRPr="00ED73CF">
          <w:rPr>
            <w:rStyle w:val="Hyperlink"/>
            <w:noProof/>
            <w:lang w:val="en-US"/>
          </w:rPr>
          <w:t>b.</w:t>
        </w:r>
        <w:r w:rsidR="001B2F7D">
          <w:rPr>
            <w:rFonts w:asciiTheme="minorHAnsi" w:eastAsiaTheme="minorEastAsia" w:hAnsiTheme="minorHAnsi" w:cstheme="minorBidi"/>
            <w:b w:val="0"/>
            <w:sz w:val="22"/>
            <w:szCs w:val="22"/>
            <w:lang w:val="en-US" w:eastAsia="en-US"/>
          </w:rPr>
          <w:tab/>
        </w:r>
        <w:r w:rsidR="001B2F7D" w:rsidRPr="00ED73CF">
          <w:rPr>
            <w:rStyle w:val="Hyperlink"/>
            <w:noProof/>
            <w:lang w:val="en-US"/>
          </w:rPr>
          <w:t>A slot property index corresponding to the LBT category that should be performed in a slot, is attached to the SFI value assigned to that slot.</w:t>
        </w:r>
      </w:hyperlink>
    </w:p>
    <w:p w14:paraId="4EBE3686"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70" w:history="1">
        <w:r w:rsidR="001B2F7D" w:rsidRPr="00ED73CF">
          <w:rPr>
            <w:rStyle w:val="Hyperlink"/>
            <w:noProof/>
          </w:rPr>
          <w:t>Proposal 3</w:t>
        </w:r>
        <w:r w:rsidR="001B2F7D">
          <w:rPr>
            <w:rFonts w:asciiTheme="minorHAnsi" w:eastAsiaTheme="minorEastAsia" w:hAnsiTheme="minorHAnsi" w:cstheme="minorBidi"/>
            <w:b w:val="0"/>
            <w:sz w:val="22"/>
            <w:szCs w:val="22"/>
            <w:lang w:val="en-US" w:eastAsia="en-US"/>
          </w:rPr>
          <w:tab/>
        </w:r>
        <w:r w:rsidR="001B2F7D" w:rsidRPr="00ED73CF">
          <w:rPr>
            <w:rStyle w:val="Hyperlink"/>
            <w:noProof/>
          </w:rPr>
          <w:t>Applicability of existing RRC parameters for configuration of DCI format 2_0 is extended to apply to a PRB range, so that slot format indication for part of a serving cell or carrier bandwidth can be provided while preserving the signalling structure of DCI format 2_0 in Rel-15.</w:t>
        </w:r>
      </w:hyperlink>
    </w:p>
    <w:p w14:paraId="723E82DA"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71" w:history="1">
        <w:r w:rsidR="001B2F7D" w:rsidRPr="00ED73CF">
          <w:rPr>
            <w:rStyle w:val="Hyperlink"/>
            <w:noProof/>
          </w:rPr>
          <w:t>Proposal 4</w:t>
        </w:r>
        <w:r w:rsidR="001B2F7D">
          <w:rPr>
            <w:rFonts w:asciiTheme="minorHAnsi" w:eastAsiaTheme="minorEastAsia" w:hAnsiTheme="minorHAnsi" w:cstheme="minorBidi"/>
            <w:b w:val="0"/>
            <w:sz w:val="22"/>
            <w:szCs w:val="22"/>
            <w:lang w:val="en-US" w:eastAsia="en-US"/>
          </w:rPr>
          <w:tab/>
        </w:r>
        <w:r w:rsidR="001B2F7D" w:rsidRPr="00ED73CF">
          <w:rPr>
            <w:rStyle w:val="Hyperlink"/>
            <w:noProof/>
          </w:rPr>
          <w:t>To indicate that a specific carrier or LBT bandwidth is not available, send the SFI-index indicating that all slots for corresponding carrier or LBT bandwidth are UL.</w:t>
        </w:r>
      </w:hyperlink>
    </w:p>
    <w:p w14:paraId="632ECCAB" w14:textId="77777777" w:rsidR="001B2F7D" w:rsidRDefault="00D9634F">
      <w:pPr>
        <w:pStyle w:val="TableofFigures"/>
        <w:tabs>
          <w:tab w:val="right" w:leader="dot" w:pos="9629"/>
        </w:tabs>
        <w:rPr>
          <w:rFonts w:asciiTheme="minorHAnsi" w:eastAsiaTheme="minorEastAsia" w:hAnsiTheme="minorHAnsi" w:cstheme="minorBidi"/>
          <w:b w:val="0"/>
          <w:sz w:val="22"/>
          <w:szCs w:val="22"/>
          <w:lang w:val="en-US" w:eastAsia="en-US"/>
        </w:rPr>
      </w:pPr>
      <w:hyperlink w:anchor="_Toc16886772" w:history="1">
        <w:r w:rsidR="001B2F7D" w:rsidRPr="00ED73CF">
          <w:rPr>
            <w:rStyle w:val="Hyperlink"/>
            <w:noProof/>
            <w:lang w:val="en-US"/>
          </w:rPr>
          <w:t>Proposal 5</w:t>
        </w:r>
        <w:r w:rsidR="001B2F7D">
          <w:rPr>
            <w:rFonts w:asciiTheme="minorHAnsi" w:eastAsiaTheme="minorEastAsia" w:hAnsiTheme="minorHAnsi" w:cstheme="minorBidi"/>
            <w:b w:val="0"/>
            <w:sz w:val="22"/>
            <w:szCs w:val="22"/>
            <w:lang w:val="en-US" w:eastAsia="en-US"/>
          </w:rPr>
          <w:tab/>
        </w:r>
        <w:r w:rsidR="001B2F7D" w:rsidRPr="00ED73CF">
          <w:rPr>
            <w:rStyle w:val="Hyperlink"/>
            <w:noProof/>
            <w:lang w:val="en-US"/>
          </w:rPr>
          <w:t>Change the support for Aperiodic TRS from an optional UE capability to a mandatory feature in NR Rel-16.</w:t>
        </w:r>
      </w:hyperlink>
    </w:p>
    <w:p w14:paraId="5A1EB9E8" w14:textId="31B29615" w:rsidR="006E1C82" w:rsidRPr="005E0680" w:rsidRDefault="006E1C82" w:rsidP="005630FD">
      <w:pPr>
        <w:pStyle w:val="TableofFigures"/>
        <w:tabs>
          <w:tab w:val="right" w:leader="dot" w:pos="9629"/>
        </w:tabs>
        <w:ind w:left="0" w:firstLine="0"/>
        <w:rPr>
          <w:lang w:val="en-US"/>
        </w:rPr>
      </w:pPr>
      <w:r w:rsidRPr="005E0680">
        <w:rPr>
          <w:lang w:val="en-US"/>
        </w:rPr>
        <w:fldChar w:fldCharType="end"/>
      </w:r>
    </w:p>
    <w:p w14:paraId="7203AEF7" w14:textId="77777777" w:rsidR="00F507D1" w:rsidRPr="005E0680" w:rsidRDefault="00F507D1" w:rsidP="00CE0424">
      <w:pPr>
        <w:pStyle w:val="Heading1"/>
        <w:rPr>
          <w:lang w:val="en-US"/>
        </w:rPr>
      </w:pPr>
      <w:bookmarkStart w:id="55" w:name="_In-sequence_SDU_delivery"/>
      <w:bookmarkEnd w:id="55"/>
      <w:r w:rsidRPr="005E0680">
        <w:rPr>
          <w:lang w:val="en-US"/>
        </w:rPr>
        <w:t>References</w:t>
      </w:r>
    </w:p>
    <w:p w14:paraId="750EA612" w14:textId="77777777" w:rsidR="007145F3" w:rsidRPr="005E0680" w:rsidRDefault="007145F3" w:rsidP="007145F3">
      <w:pPr>
        <w:pStyle w:val="Reference"/>
        <w:overflowPunct/>
        <w:autoSpaceDE/>
        <w:autoSpaceDN/>
        <w:adjustRightInd/>
        <w:spacing w:line="259" w:lineRule="auto"/>
        <w:textAlignment w:val="auto"/>
        <w:rPr>
          <w:lang w:val="en-US"/>
        </w:rPr>
      </w:pPr>
      <w:bookmarkStart w:id="56" w:name="_Ref534127550"/>
      <w:bookmarkStart w:id="57" w:name="_Ref488061725"/>
      <w:bookmarkStart w:id="58" w:name="_Ref521659446"/>
      <w:bookmarkStart w:id="59" w:name="_Ref479756368"/>
      <w:bookmarkStart w:id="60" w:name="_Ref481486326"/>
      <w:bookmarkStart w:id="61" w:name="_Ref174151459"/>
      <w:bookmarkStart w:id="62" w:name="_Ref189809556"/>
      <w:r w:rsidRPr="005E0680">
        <w:rPr>
          <w:lang w:val="en-US"/>
        </w:rPr>
        <w:t>RP-182878, “New WID on NR-based Access to Unlicensed Spectrum,” Qualcomm, RAN#82, December 2018.</w:t>
      </w:r>
      <w:bookmarkEnd w:id="56"/>
    </w:p>
    <w:p w14:paraId="4E05F49A" w14:textId="6FC9F8B7" w:rsidR="007145F3" w:rsidRPr="005E0680" w:rsidRDefault="007145F3" w:rsidP="007145F3">
      <w:pPr>
        <w:pStyle w:val="Reference"/>
        <w:overflowPunct/>
        <w:autoSpaceDE/>
        <w:autoSpaceDN/>
        <w:adjustRightInd/>
        <w:spacing w:line="259" w:lineRule="auto"/>
        <w:textAlignment w:val="auto"/>
        <w:rPr>
          <w:lang w:val="en-US"/>
        </w:rPr>
      </w:pPr>
      <w:bookmarkStart w:id="63" w:name="_Ref534117348"/>
      <w:r w:rsidRPr="005E0680">
        <w:rPr>
          <w:lang w:val="en-US"/>
        </w:rPr>
        <w:t>3GPP TR 38.889, “Study on NR-based access to unlicensed spectrum,” v16.0.0, December 2018.</w:t>
      </w:r>
      <w:bookmarkEnd w:id="63"/>
    </w:p>
    <w:p w14:paraId="0034D3CC" w14:textId="533CFAC9" w:rsidR="003A7EF3" w:rsidRPr="005E0680" w:rsidRDefault="00D646A5" w:rsidP="00CE0424">
      <w:pPr>
        <w:pStyle w:val="Reference"/>
        <w:rPr>
          <w:lang w:val="en-US"/>
        </w:rPr>
      </w:pPr>
      <w:bookmarkStart w:id="64" w:name="OLE_LINK25"/>
      <w:bookmarkStart w:id="65" w:name="OLE_LINK24"/>
      <w:bookmarkStart w:id="66" w:name="_Ref1141885"/>
      <w:r w:rsidRPr="005E0680">
        <w:rPr>
          <w:lang w:val="en-US"/>
        </w:rPr>
        <w:t>R1-</w:t>
      </w:r>
      <w:r w:rsidR="00934185" w:rsidRPr="005E0680">
        <w:rPr>
          <w:lang w:val="en-US"/>
        </w:rPr>
        <w:t xml:space="preserve">1812191, </w:t>
      </w:r>
      <w:r w:rsidRPr="005E0680">
        <w:rPr>
          <w:lang w:val="en-US"/>
        </w:rPr>
        <w:t>“</w:t>
      </w:r>
      <w:r w:rsidR="00934185" w:rsidRPr="005E0680">
        <w:rPr>
          <w:lang w:val="en-US"/>
        </w:rPr>
        <w:t>NR numerology and frame structure for unlicensed bands</w:t>
      </w:r>
      <w:bookmarkEnd w:id="64"/>
      <w:bookmarkEnd w:id="65"/>
      <w:r w:rsidR="00934185" w:rsidRPr="005E0680">
        <w:rPr>
          <w:lang w:val="en-US"/>
        </w:rPr>
        <w:t>,</w:t>
      </w:r>
      <w:r w:rsidRPr="005E0680">
        <w:rPr>
          <w:lang w:val="en-US"/>
        </w:rPr>
        <w:t>”</w:t>
      </w:r>
      <w:r w:rsidR="00934185" w:rsidRPr="005E0680">
        <w:rPr>
          <w:lang w:val="en-US"/>
        </w:rPr>
        <w:t xml:space="preserve"> Huawei, HiSilicon, RAN1#95</w:t>
      </w:r>
      <w:bookmarkEnd w:id="57"/>
      <w:bookmarkEnd w:id="58"/>
      <w:bookmarkEnd w:id="59"/>
      <w:bookmarkEnd w:id="60"/>
      <w:bookmarkEnd w:id="61"/>
      <w:bookmarkEnd w:id="62"/>
      <w:r w:rsidRPr="005E0680">
        <w:rPr>
          <w:lang w:val="en-US"/>
        </w:rPr>
        <w:t>, November 2018.</w:t>
      </w:r>
      <w:bookmarkEnd w:id="66"/>
    </w:p>
    <w:p w14:paraId="656DC6A9" w14:textId="26CBA7E2" w:rsidR="0085707B" w:rsidRPr="005E0680" w:rsidRDefault="0085707B" w:rsidP="0085707B">
      <w:pPr>
        <w:pStyle w:val="Reference"/>
        <w:overflowPunct/>
        <w:autoSpaceDE/>
        <w:autoSpaceDN/>
        <w:adjustRightInd/>
        <w:spacing w:line="259" w:lineRule="auto"/>
        <w:textAlignment w:val="auto"/>
        <w:rPr>
          <w:lang w:val="en-US"/>
        </w:rPr>
      </w:pPr>
      <w:bookmarkStart w:id="67" w:name="_Ref534881501"/>
      <w:bookmarkStart w:id="68" w:name="_Ref534892220"/>
      <w:r w:rsidRPr="005E0680">
        <w:rPr>
          <w:lang w:val="en-US"/>
        </w:rPr>
        <w:t>3GPP TS 38.213, “Physical layer procedures for control” v15.3.0, September 2018</w:t>
      </w:r>
      <w:bookmarkEnd w:id="67"/>
      <w:r w:rsidRPr="005E0680">
        <w:rPr>
          <w:lang w:val="en-US"/>
        </w:rPr>
        <w:t>.</w:t>
      </w:r>
      <w:bookmarkEnd w:id="68"/>
    </w:p>
    <w:p w14:paraId="1B0A0D3E" w14:textId="3120DA74" w:rsidR="005F0BEC" w:rsidRPr="005E0680" w:rsidRDefault="005F0BEC" w:rsidP="0085707B">
      <w:pPr>
        <w:pStyle w:val="Reference"/>
        <w:overflowPunct/>
        <w:autoSpaceDE/>
        <w:autoSpaceDN/>
        <w:adjustRightInd/>
        <w:spacing w:line="259" w:lineRule="auto"/>
        <w:textAlignment w:val="auto"/>
        <w:rPr>
          <w:lang w:val="en-US"/>
        </w:rPr>
      </w:pPr>
      <w:bookmarkStart w:id="69" w:name="_Ref1141170"/>
      <w:r w:rsidRPr="005E0680">
        <w:rPr>
          <w:lang w:val="en-US"/>
        </w:rPr>
        <w:t>“RAN1 Chairman’s Notes”, RAN1# AH 1901, January 2019</w:t>
      </w:r>
      <w:bookmarkEnd w:id="69"/>
    </w:p>
    <w:p w14:paraId="3F01FD1A" w14:textId="04F6478A" w:rsidR="001D351D" w:rsidRPr="005E0680" w:rsidRDefault="001D351D" w:rsidP="0085707B">
      <w:pPr>
        <w:pStyle w:val="Reference"/>
        <w:overflowPunct/>
        <w:autoSpaceDE/>
        <w:autoSpaceDN/>
        <w:adjustRightInd/>
        <w:spacing w:line="259" w:lineRule="auto"/>
        <w:textAlignment w:val="auto"/>
        <w:rPr>
          <w:lang w:val="en-US"/>
        </w:rPr>
      </w:pPr>
      <w:bookmarkStart w:id="70" w:name="_Ref1172541"/>
      <w:r w:rsidRPr="005E0680">
        <w:rPr>
          <w:lang w:val="en-US"/>
        </w:rPr>
        <w:t>3GPP TS 36.212 “Multiplexing and channel coding”, V15.4.0, December 2018.</w:t>
      </w:r>
      <w:bookmarkEnd w:id="70"/>
    </w:p>
    <w:p w14:paraId="772329FC" w14:textId="6C233AFD" w:rsidR="00D929A9" w:rsidRPr="005E0680" w:rsidRDefault="006E082C" w:rsidP="0085707B">
      <w:pPr>
        <w:pStyle w:val="Reference"/>
        <w:overflowPunct/>
        <w:autoSpaceDE/>
        <w:autoSpaceDN/>
        <w:adjustRightInd/>
        <w:spacing w:line="259" w:lineRule="auto"/>
        <w:textAlignment w:val="auto"/>
        <w:rPr>
          <w:lang w:val="en-US"/>
        </w:rPr>
      </w:pPr>
      <w:bookmarkStart w:id="71" w:name="_Ref1172913"/>
      <w:r w:rsidRPr="005E0680">
        <w:rPr>
          <w:lang w:val="en-US"/>
        </w:rPr>
        <w:t>R1-1902887</w:t>
      </w:r>
      <w:r w:rsidR="00D929A9" w:rsidRPr="005E0680">
        <w:rPr>
          <w:lang w:val="en-US"/>
        </w:rPr>
        <w:t>, “Wideband operation for NR-U”, Ericsson RAN1#96, February 2019,</w:t>
      </w:r>
      <w:bookmarkEnd w:id="71"/>
      <w:r w:rsidR="00D929A9" w:rsidRPr="005E0680">
        <w:rPr>
          <w:lang w:val="en-US"/>
        </w:rPr>
        <w:t xml:space="preserve"> </w:t>
      </w:r>
    </w:p>
    <w:p w14:paraId="14366EDD" w14:textId="73A63246" w:rsidR="00CD547D" w:rsidRPr="005E0680" w:rsidRDefault="00CD547D" w:rsidP="0085707B">
      <w:pPr>
        <w:pStyle w:val="Reference"/>
        <w:overflowPunct/>
        <w:autoSpaceDE/>
        <w:autoSpaceDN/>
        <w:adjustRightInd/>
        <w:spacing w:line="259" w:lineRule="auto"/>
        <w:textAlignment w:val="auto"/>
        <w:rPr>
          <w:lang w:val="en-US"/>
        </w:rPr>
      </w:pPr>
      <w:bookmarkStart w:id="72" w:name="_Ref1141023"/>
      <w:r w:rsidRPr="005E0680">
        <w:rPr>
          <w:lang w:val="en-US"/>
        </w:rPr>
        <w:t>R1-1900996, “DL signals and channels”, Ericsson RAN1#AH1901, January 2019</w:t>
      </w:r>
      <w:bookmarkEnd w:id="72"/>
    </w:p>
    <w:p w14:paraId="49E39024" w14:textId="5990A5E1" w:rsidR="00B95150" w:rsidRDefault="00B95150" w:rsidP="0085707B">
      <w:pPr>
        <w:pStyle w:val="Reference"/>
        <w:overflowPunct/>
        <w:autoSpaceDE/>
        <w:autoSpaceDN/>
        <w:adjustRightInd/>
        <w:spacing w:line="259" w:lineRule="auto"/>
        <w:textAlignment w:val="auto"/>
        <w:rPr>
          <w:lang w:val="en-US"/>
        </w:rPr>
      </w:pPr>
      <w:r w:rsidRPr="005E0680">
        <w:rPr>
          <w:lang w:val="en-US"/>
        </w:rPr>
        <w:t>R1-1903687, “Feature lead summary for NR-U DL Signals and Channels”, Motorola Mobility, Lenovo, RAN1#96, March 2019</w:t>
      </w:r>
      <w:r w:rsidR="00E01F3A">
        <w:rPr>
          <w:lang w:val="en-US"/>
        </w:rPr>
        <w:t>.</w:t>
      </w:r>
    </w:p>
    <w:p w14:paraId="1D388FEB" w14:textId="6CD3D300" w:rsidR="00E01F3A" w:rsidRDefault="00E01F3A" w:rsidP="0085707B">
      <w:pPr>
        <w:pStyle w:val="Reference"/>
        <w:overflowPunct/>
        <w:autoSpaceDE/>
        <w:autoSpaceDN/>
        <w:adjustRightInd/>
        <w:spacing w:line="259" w:lineRule="auto"/>
        <w:textAlignment w:val="auto"/>
        <w:rPr>
          <w:lang w:val="en-US"/>
        </w:rPr>
      </w:pPr>
      <w:bookmarkStart w:id="73" w:name="_Ref4788736"/>
      <w:r>
        <w:rPr>
          <w:lang w:val="en-US"/>
        </w:rPr>
        <w:t>R1-1905232, “</w:t>
      </w:r>
      <w:r w:rsidRPr="00E01F3A">
        <w:rPr>
          <w:lang w:val="en-US"/>
        </w:rPr>
        <w:t>On aperiodic reference signals for NR-U</w:t>
      </w:r>
      <w:r>
        <w:rPr>
          <w:lang w:val="en-US"/>
        </w:rPr>
        <w:t>,” Ericsson, RAN1#96b, April 2019.</w:t>
      </w:r>
      <w:bookmarkEnd w:id="73"/>
    </w:p>
    <w:p w14:paraId="15528AE2" w14:textId="2F24F81F" w:rsidR="002D10FB" w:rsidRDefault="002D10FB" w:rsidP="0085707B">
      <w:pPr>
        <w:pStyle w:val="Reference"/>
        <w:overflowPunct/>
        <w:autoSpaceDE/>
        <w:autoSpaceDN/>
        <w:adjustRightInd/>
        <w:spacing w:line="259" w:lineRule="auto"/>
        <w:textAlignment w:val="auto"/>
        <w:rPr>
          <w:lang w:val="en-US"/>
        </w:rPr>
      </w:pPr>
      <w:bookmarkStart w:id="74" w:name="_Ref7791189"/>
      <w:r w:rsidRPr="002D10FB">
        <w:rPr>
          <w:lang w:val="en-US"/>
        </w:rPr>
        <w:t>“RAN1 Chairman’s Notes”, RAN1#</w:t>
      </w:r>
      <w:r>
        <w:rPr>
          <w:lang w:val="en-US"/>
        </w:rPr>
        <w:t>96bis</w:t>
      </w:r>
      <w:r w:rsidRPr="002D10FB">
        <w:rPr>
          <w:lang w:val="en-US"/>
        </w:rPr>
        <w:t>, January 2019</w:t>
      </w:r>
      <w:bookmarkEnd w:id="74"/>
    </w:p>
    <w:p w14:paraId="384F86C4" w14:textId="316174AF" w:rsidR="00C609A5" w:rsidRDefault="00921A95" w:rsidP="0085707B">
      <w:pPr>
        <w:pStyle w:val="Reference"/>
        <w:overflowPunct/>
        <w:autoSpaceDE/>
        <w:autoSpaceDN/>
        <w:adjustRightInd/>
        <w:spacing w:line="259" w:lineRule="auto"/>
        <w:textAlignment w:val="auto"/>
        <w:rPr>
          <w:lang w:val="en-US"/>
        </w:rPr>
      </w:pPr>
      <w:bookmarkStart w:id="75" w:name="_Ref7791157"/>
      <w:r w:rsidRPr="00921A95">
        <w:rPr>
          <w:lang w:val="en-US"/>
        </w:rPr>
        <w:t>3GPP TS 38.306</w:t>
      </w:r>
      <w:r>
        <w:rPr>
          <w:lang w:val="en-US"/>
        </w:rPr>
        <w:t>, “</w:t>
      </w:r>
      <w:r w:rsidRPr="00921A95">
        <w:rPr>
          <w:lang w:val="en-US"/>
        </w:rPr>
        <w:t>User Equipment (UE) radio access capabilities</w:t>
      </w:r>
      <w:r>
        <w:rPr>
          <w:lang w:val="en-US"/>
        </w:rPr>
        <w:t xml:space="preserve">”, </w:t>
      </w:r>
      <w:r w:rsidRPr="00921A95">
        <w:rPr>
          <w:lang w:val="en-US"/>
        </w:rPr>
        <w:t>V15.5.0</w:t>
      </w:r>
      <w:r>
        <w:rPr>
          <w:lang w:val="en-US"/>
        </w:rPr>
        <w:t>, March 2019,</w:t>
      </w:r>
      <w:bookmarkEnd w:id="75"/>
    </w:p>
    <w:p w14:paraId="4AE41505" w14:textId="5E413CAE" w:rsidR="00D570DF" w:rsidRDefault="002504AC" w:rsidP="00D570DF">
      <w:pPr>
        <w:pStyle w:val="Reference"/>
        <w:overflowPunct/>
        <w:autoSpaceDE/>
        <w:autoSpaceDN/>
        <w:adjustRightInd/>
        <w:spacing w:line="259" w:lineRule="auto"/>
        <w:textAlignment w:val="auto"/>
        <w:rPr>
          <w:lang w:val="en-US"/>
        </w:rPr>
      </w:pPr>
      <w:bookmarkStart w:id="76" w:name="_Ref14696990"/>
      <w:r w:rsidRPr="002504AC">
        <w:rPr>
          <w:lang w:val="en-US"/>
        </w:rPr>
        <w:t>“RAN1 Chairman’s Notes”, 3GPP RAN WG1 meeting #97, Reno, USA, May 2019</w:t>
      </w:r>
      <w:bookmarkEnd w:id="76"/>
    </w:p>
    <w:p w14:paraId="038F8297" w14:textId="77777777" w:rsidR="006E7E43" w:rsidRPr="006E7E43" w:rsidRDefault="006E7E43" w:rsidP="006E7E43">
      <w:pPr>
        <w:pStyle w:val="Reference"/>
        <w:rPr>
          <w:lang w:val="en-US"/>
        </w:rPr>
      </w:pPr>
      <w:bookmarkStart w:id="77" w:name="_Ref16866852"/>
      <w:r w:rsidRPr="006E7E43">
        <w:rPr>
          <w:lang w:val="en-US"/>
        </w:rPr>
        <w:t>3GPP TS 38.331 “Radio Resource Control (RRC) Protocol Specification,”</w:t>
      </w:r>
      <w:bookmarkEnd w:id="77"/>
    </w:p>
    <w:p w14:paraId="48486715" w14:textId="72FD66EB" w:rsidR="00241AAD" w:rsidRPr="00241AAD" w:rsidRDefault="00241AAD" w:rsidP="00241AAD">
      <w:pPr>
        <w:pStyle w:val="Reference"/>
        <w:rPr>
          <w:lang w:val="en-US"/>
        </w:rPr>
      </w:pPr>
      <w:bookmarkStart w:id="78" w:name="_Ref4668838"/>
      <w:bookmarkStart w:id="79" w:name="_Ref16684993"/>
      <w:r w:rsidRPr="00241AAD">
        <w:rPr>
          <w:lang w:val="en-US"/>
        </w:rPr>
        <w:t>R</w:t>
      </w:r>
      <w:bookmarkEnd w:id="78"/>
      <w:r w:rsidRPr="00241AAD">
        <w:rPr>
          <w:lang w:val="en-US"/>
        </w:rPr>
        <w:t>P-191599, “Enhancements for dynamic spectrum sharing in Rel-16”, Ericsson</w:t>
      </w:r>
      <w:bookmarkEnd w:id="79"/>
    </w:p>
    <w:p w14:paraId="3379AB11" w14:textId="0681DF0F" w:rsidR="006E7E43" w:rsidRDefault="00241AAD" w:rsidP="000330CA">
      <w:pPr>
        <w:pStyle w:val="Reference"/>
        <w:rPr>
          <w:lang w:val="en-US"/>
        </w:rPr>
      </w:pPr>
      <w:bookmarkStart w:id="80" w:name="_Hlk16583818"/>
      <w:r w:rsidRPr="00241AAD">
        <w:rPr>
          <w:lang w:val="en-US"/>
        </w:rPr>
        <w:t>RP-191490, “Enhancements for dynamic spectrum sharing in Rel-16”, Ericsson</w:t>
      </w:r>
      <w:bookmarkEnd w:id="80"/>
    </w:p>
    <w:p w14:paraId="6F5D1138" w14:textId="1E0AE488" w:rsidR="00CA5975" w:rsidRPr="000330CA" w:rsidRDefault="00CA5975" w:rsidP="00CA5975">
      <w:pPr>
        <w:pStyle w:val="Reference"/>
        <w:rPr>
          <w:lang w:val="en-US"/>
        </w:rPr>
      </w:pPr>
      <w:bookmarkStart w:id="81" w:name="_Ref16856371"/>
      <w:r w:rsidRPr="00CA5975">
        <w:rPr>
          <w:lang w:val="en-US"/>
        </w:rPr>
        <w:t>RP-191581 “Guidance on essential functionality for NR-U”, Qualcomm, June 2019</w:t>
      </w:r>
      <w:bookmarkEnd w:id="81"/>
    </w:p>
    <w:p w14:paraId="46B4A74B" w14:textId="7306790C" w:rsidR="00D570DF" w:rsidRDefault="00FD5DE3" w:rsidP="00FD5DE3">
      <w:pPr>
        <w:pStyle w:val="Heading1"/>
        <w:rPr>
          <w:lang w:val="en-US"/>
        </w:rPr>
      </w:pPr>
      <w:bookmarkStart w:id="82" w:name="_Ref16853743"/>
      <w:r>
        <w:rPr>
          <w:lang w:val="en-US"/>
        </w:rPr>
        <w:t>Appendix</w:t>
      </w:r>
      <w:r w:rsidR="00641F2B">
        <w:rPr>
          <w:lang w:val="en-US"/>
        </w:rPr>
        <w:t xml:space="preserve"> I</w:t>
      </w:r>
      <w:bookmarkEnd w:id="82"/>
    </w:p>
    <w:p w14:paraId="6E951CBF" w14:textId="535B57E9" w:rsidR="00E73E57" w:rsidRDefault="00112BA2" w:rsidP="00E73E57">
      <w:pPr>
        <w:rPr>
          <w:lang w:val="en-US"/>
        </w:rPr>
      </w:pPr>
      <w:r>
        <w:rPr>
          <w:lang w:val="en-US"/>
        </w:rPr>
        <w:t xml:space="preserve">Specification description on </w:t>
      </w:r>
      <w:r w:rsidR="00CD3C1A">
        <w:rPr>
          <w:lang w:val="en-US"/>
        </w:rPr>
        <w:t>PDCCH monitoring based on</w:t>
      </w:r>
      <w:r w:rsidR="00614781">
        <w:rPr>
          <w:lang w:val="en-US"/>
        </w:rPr>
        <w:t xml:space="preserve"> DCI format 2_0 indication </w:t>
      </w:r>
      <w:r w:rsidR="00A15635">
        <w:rPr>
          <w:lang w:val="en-US"/>
        </w:rPr>
        <w:fldChar w:fldCharType="begin"/>
      </w:r>
      <w:r w:rsidR="00A15635">
        <w:rPr>
          <w:lang w:val="en-US"/>
        </w:rPr>
        <w:instrText xml:space="preserve"> REF _Ref534892220 \r \h </w:instrText>
      </w:r>
      <w:r w:rsidR="00A15635">
        <w:rPr>
          <w:lang w:val="en-US"/>
        </w:rPr>
      </w:r>
      <w:r w:rsidR="00A15635">
        <w:rPr>
          <w:lang w:val="en-US"/>
        </w:rPr>
        <w:fldChar w:fldCharType="separate"/>
      </w:r>
      <w:r w:rsidR="00431AC5">
        <w:rPr>
          <w:lang w:val="en-US"/>
        </w:rPr>
        <w:t>[4]</w:t>
      </w:r>
      <w:r w:rsidR="00A15635">
        <w:rPr>
          <w:lang w:val="en-US"/>
        </w:rPr>
        <w:fldChar w:fldCharType="end"/>
      </w:r>
      <w:r w:rsidR="00A15635">
        <w:rPr>
          <w:lang w:val="en-US"/>
        </w:rPr>
        <w:t>:</w:t>
      </w:r>
    </w:p>
    <w:p w14:paraId="466F6373" w14:textId="052EC701" w:rsidR="00E73E57" w:rsidRPr="0080392F" w:rsidRDefault="00E73E57" w:rsidP="00E73E57">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t xml:space="preserve">to a UE </w:t>
      </w:r>
      <w:r w:rsidRPr="0080392F">
        <w:t xml:space="preserve">as </w:t>
      </w:r>
      <w:r w:rsidRPr="0080392F">
        <w:rPr>
          <w:lang w:val="en-US"/>
        </w:rPr>
        <w:t>flexible</w:t>
      </w:r>
      <w:r w:rsidRPr="0080392F">
        <w:t xml:space="preserve"> by </w:t>
      </w:r>
      <w:r>
        <w:rPr>
          <w:i/>
        </w:rPr>
        <w:t>TDD</w:t>
      </w:r>
      <w:r w:rsidRPr="00FE7E1C">
        <w:rPr>
          <w:i/>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D</w:t>
      </w:r>
      <w:r w:rsidRPr="0080392F">
        <w:rPr>
          <w:i/>
          <w:lang w:val="en-US"/>
        </w:rPr>
        <w:t>edicated</w:t>
      </w:r>
      <w:r w:rsidRPr="0080392F">
        <w:rPr>
          <w:lang w:val="en-US"/>
        </w:rPr>
        <w:t xml:space="preserve">, or when </w:t>
      </w:r>
      <w:r>
        <w:rPr>
          <w:i/>
          <w:lang w:val="en-US"/>
        </w:rPr>
        <w:t>TDD</w:t>
      </w:r>
      <w:r w:rsidRPr="00FE7E1C">
        <w:rPr>
          <w:i/>
          <w:lang w:val="en-US"/>
        </w:rPr>
        <w:t>-</w:t>
      </w:r>
      <w:r w:rsidRPr="0080392F">
        <w:rPr>
          <w:i/>
          <w:lang w:val="en-US"/>
        </w:rPr>
        <w:t>UL-DL-</w:t>
      </w:r>
      <w:r>
        <w:rPr>
          <w:i/>
          <w:lang w:val="en-US"/>
        </w:rPr>
        <w:t>C</w:t>
      </w:r>
      <w:r w:rsidRPr="0080392F">
        <w:rPr>
          <w:i/>
          <w:lang w:val="en-US"/>
        </w:rPr>
        <w:t>onfiguration</w:t>
      </w:r>
      <w:r>
        <w:rPr>
          <w:i/>
          <w:lang w:val="en-US"/>
        </w:rPr>
        <w:t>C</w:t>
      </w:r>
      <w:r w:rsidRPr="0080392F">
        <w:rPr>
          <w:i/>
          <w:lang w:val="en-US"/>
        </w:rPr>
        <w:t>ommon</w:t>
      </w:r>
      <w:r w:rsidRPr="0080392F">
        <w:rPr>
          <w:lang w:val="en-US"/>
        </w:rPr>
        <w:t xml:space="preserve"> and </w:t>
      </w:r>
      <w:r>
        <w:rPr>
          <w:i/>
          <w:lang w:val="en-US"/>
        </w:rPr>
        <w:t>TDD</w:t>
      </w:r>
      <w:r w:rsidRPr="0023005A">
        <w:rPr>
          <w:i/>
          <w:lang w:val="en-US"/>
        </w:rPr>
        <w:t>-</w:t>
      </w:r>
      <w:r w:rsidRPr="0080392F">
        <w:rPr>
          <w:i/>
          <w:lang w:val="en-US"/>
        </w:rPr>
        <w:t>UL-DL-</w:t>
      </w:r>
      <w:r>
        <w:rPr>
          <w:i/>
          <w:lang w:val="en-US"/>
        </w:rPr>
        <w:t>C</w:t>
      </w:r>
      <w:r w:rsidRPr="0080392F">
        <w:rPr>
          <w:i/>
          <w:lang w:val="en-US"/>
        </w:rPr>
        <w:t>onfig</w:t>
      </w:r>
      <w:r>
        <w:rPr>
          <w:i/>
          <w:lang w:val="en-US"/>
        </w:rPr>
        <w:t>D</w:t>
      </w:r>
      <w:r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Pr>
          <w:lang w:val="en-US" w:eastAsia="zh-CN"/>
        </w:rPr>
        <w:t xml:space="preserve"> using a slot format value other than 255</w:t>
      </w:r>
    </w:p>
    <w:p w14:paraId="0CBE9762" w14:textId="678E1929" w:rsidR="00E73E57" w:rsidRPr="00234F0D" w:rsidRDefault="00E73E57" w:rsidP="00234F0D">
      <w:pPr>
        <w:pStyle w:val="B1"/>
      </w:pPr>
      <w:r>
        <w:t>-</w:t>
      </w:r>
      <w:r>
        <w:tab/>
      </w:r>
      <w:r>
        <w:rPr>
          <w:lang w:val="en-US"/>
        </w:rPr>
        <w:t>i</w:t>
      </w:r>
      <w:r>
        <w:t>f one or more symbols from the set of symbols are</w:t>
      </w:r>
      <w:r w:rsidRPr="00B916EC">
        <w:t xml:space="preserve"> symbols in a </w:t>
      </w:r>
      <w:r>
        <w:t>CORESET</w:t>
      </w:r>
      <w:r w:rsidRPr="00B916EC">
        <w:t xml:space="preserve"> configured to the UE for PDCCH monitoring</w:t>
      </w:r>
      <w:r>
        <w:t>, the UE receives PDCCH in the CORESET</w:t>
      </w:r>
      <w:r w:rsidRPr="00B916EC">
        <w:t xml:space="preserve"> </w:t>
      </w:r>
      <w:r>
        <w:t xml:space="preserve">only </w:t>
      </w:r>
      <w:r w:rsidRPr="005B7BBD">
        <w:t>if</w:t>
      </w:r>
      <w:r w:rsidRPr="004967FE">
        <w:rPr>
          <w:lang w:val="en-US"/>
        </w:rPr>
        <w:t xml:space="preserve"> </w:t>
      </w:r>
      <w:r>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r w:rsidR="00234F0D">
        <w:t>.</w:t>
      </w:r>
    </w:p>
    <w:p w14:paraId="683B4FC0" w14:textId="513B1831" w:rsidR="00E73E57" w:rsidRDefault="007A1ECD" w:rsidP="00234F0D">
      <w:pPr>
        <w:pStyle w:val="Heading1"/>
        <w:rPr>
          <w:lang w:val="en-US"/>
        </w:rPr>
      </w:pPr>
      <w:bookmarkStart w:id="83" w:name="_Ref16867029"/>
      <w:r>
        <w:rPr>
          <w:lang w:val="en-US"/>
        </w:rPr>
        <w:t>Appendix II</w:t>
      </w:r>
      <w:bookmarkEnd w:id="83"/>
    </w:p>
    <w:p w14:paraId="7FD981D3" w14:textId="5FA05167" w:rsidR="0034456F" w:rsidRDefault="00F05887" w:rsidP="0034456F">
      <w:pPr>
        <w:rPr>
          <w:lang w:val="en-US"/>
        </w:rPr>
      </w:pPr>
      <w:r>
        <w:rPr>
          <w:lang w:val="en-US"/>
        </w:rPr>
        <w:t xml:space="preserve">RRC configurations </w:t>
      </w:r>
      <w:r w:rsidR="00781CB0">
        <w:rPr>
          <w:lang w:val="en-US"/>
        </w:rPr>
        <w:t xml:space="preserve">related to </w:t>
      </w:r>
      <w:r w:rsidR="00533983">
        <w:rPr>
          <w:lang w:val="en-US"/>
        </w:rPr>
        <w:t>DCI format 2_0</w:t>
      </w:r>
      <w:r w:rsidR="00B540A2">
        <w:rPr>
          <w:lang w:val="en-US"/>
        </w:rPr>
        <w:t xml:space="preserve"> in </w:t>
      </w:r>
      <w:r w:rsidR="00B540A2">
        <w:rPr>
          <w:lang w:val="en-US"/>
        </w:rPr>
        <w:fldChar w:fldCharType="begin"/>
      </w:r>
      <w:r w:rsidR="00B540A2">
        <w:rPr>
          <w:lang w:val="en-US"/>
        </w:rPr>
        <w:instrText xml:space="preserve"> REF _Ref16866852 \w \h </w:instrText>
      </w:r>
      <w:r w:rsidR="00B540A2">
        <w:rPr>
          <w:lang w:val="en-US"/>
        </w:rPr>
      </w:r>
      <w:r w:rsidR="00B540A2">
        <w:rPr>
          <w:lang w:val="en-US"/>
        </w:rPr>
        <w:fldChar w:fldCharType="separate"/>
      </w:r>
      <w:r w:rsidR="00431AC5">
        <w:rPr>
          <w:lang w:val="en-US"/>
        </w:rPr>
        <w:t>[14]</w:t>
      </w:r>
      <w:r w:rsidR="00B540A2">
        <w:rPr>
          <w:lang w:val="en-US"/>
        </w:rPr>
        <w:fldChar w:fldCharType="end"/>
      </w:r>
      <w:r w:rsidR="00621789">
        <w:rPr>
          <w:lang w:val="en-US"/>
        </w:rPr>
        <w:t>:</w:t>
      </w:r>
    </w:p>
    <w:p w14:paraId="27CA7CF3" w14:textId="7CFE0321" w:rsidR="00D252AF" w:rsidRPr="00D252AF" w:rsidRDefault="00621789" w:rsidP="00D252AF">
      <w:pPr>
        <w:keepNext/>
        <w:keepLines/>
        <w:spacing w:before="120"/>
        <w:ind w:left="1418" w:hanging="1418"/>
        <w:outlineLvl w:val="3"/>
        <w:rPr>
          <w:rFonts w:ascii="Arial" w:hAnsi="Arial"/>
          <w:sz w:val="24"/>
          <w:lang w:eastAsia="x-none"/>
        </w:rPr>
      </w:pPr>
      <w:r w:rsidRPr="00747C3C">
        <w:rPr>
          <w:rFonts w:ascii="Arial" w:hAnsi="Arial"/>
          <w:sz w:val="24"/>
          <w:lang w:eastAsia="x-none"/>
        </w:rPr>
        <w:t>–</w:t>
      </w:r>
      <w:r w:rsidRPr="00747C3C">
        <w:rPr>
          <w:rFonts w:ascii="Arial" w:hAnsi="Arial"/>
          <w:sz w:val="24"/>
          <w:lang w:eastAsia="x-none"/>
        </w:rPr>
        <w:tab/>
      </w:r>
      <w:r w:rsidR="00D252AF" w:rsidRPr="00D252AF">
        <w:rPr>
          <w:rFonts w:ascii="Arial" w:hAnsi="Arial"/>
          <w:i/>
          <w:sz w:val="24"/>
          <w:lang w:eastAsia="x-none"/>
        </w:rPr>
        <w:t>SlotFormatIndicator</w:t>
      </w:r>
    </w:p>
    <w:p w14:paraId="1E2834B2" w14:textId="77777777" w:rsidR="00D252AF" w:rsidRPr="00D252AF" w:rsidRDefault="00D252AF" w:rsidP="00D252AF">
      <w:r w:rsidRPr="00D252AF">
        <w:t xml:space="preserve">The IE </w:t>
      </w:r>
      <w:r w:rsidRPr="00D252AF">
        <w:rPr>
          <w:i/>
        </w:rPr>
        <w:t>SlotFormatIndicator</w:t>
      </w:r>
      <w:r w:rsidRPr="00D252AF">
        <w:t xml:space="preserve"> is used to configure monitoring a Group-Common-PDCCH for Slot-Format-Indicators (SFI).</w:t>
      </w:r>
    </w:p>
    <w:p w14:paraId="077A4FE8" w14:textId="77777777" w:rsidR="00D252AF" w:rsidRPr="00D252AF" w:rsidRDefault="00D252AF" w:rsidP="00D252AF">
      <w:pPr>
        <w:keepNext/>
        <w:keepLines/>
        <w:spacing w:before="60"/>
        <w:jc w:val="center"/>
        <w:rPr>
          <w:rFonts w:ascii="Arial" w:hAnsi="Arial"/>
          <w:b/>
          <w:lang w:eastAsia="x-none"/>
        </w:rPr>
      </w:pPr>
      <w:r w:rsidRPr="00D252AF">
        <w:rPr>
          <w:rFonts w:ascii="Arial" w:hAnsi="Arial"/>
          <w:b/>
          <w:i/>
          <w:lang w:eastAsia="x-none"/>
        </w:rPr>
        <w:t>SlotFormatIndicator</w:t>
      </w:r>
      <w:r w:rsidRPr="00D252AF">
        <w:rPr>
          <w:rFonts w:ascii="Arial" w:hAnsi="Arial"/>
          <w:b/>
          <w:lang w:eastAsia="x-none"/>
        </w:rPr>
        <w:t xml:space="preserve"> information element</w:t>
      </w:r>
    </w:p>
    <w:p w14:paraId="7A583671"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D252AF">
        <w:rPr>
          <w:rFonts w:ascii="Courier New" w:hAnsi="Courier New"/>
          <w:noProof/>
          <w:color w:val="808080"/>
          <w:sz w:val="16"/>
          <w:lang w:eastAsia="en-GB"/>
        </w:rPr>
        <w:t>-- ASN1START</w:t>
      </w:r>
    </w:p>
    <w:p w14:paraId="252D91FA"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D252AF">
        <w:rPr>
          <w:rFonts w:ascii="Courier New" w:hAnsi="Courier New"/>
          <w:noProof/>
          <w:color w:val="808080"/>
          <w:sz w:val="16"/>
          <w:lang w:eastAsia="en-GB"/>
        </w:rPr>
        <w:t>-- TAG-SLOTFORMATINDICATOR-START</w:t>
      </w:r>
    </w:p>
    <w:p w14:paraId="6045E049"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3BA40C2"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252AF">
        <w:rPr>
          <w:rFonts w:ascii="Courier New" w:hAnsi="Courier New"/>
          <w:noProof/>
          <w:sz w:val="16"/>
          <w:lang w:eastAsia="en-GB"/>
        </w:rPr>
        <w:t xml:space="preserve">SlotFormatIndicator ::=     </w:t>
      </w:r>
      <w:r w:rsidRPr="00D252AF">
        <w:rPr>
          <w:rFonts w:ascii="Courier New" w:hAnsi="Courier New"/>
          <w:noProof/>
          <w:color w:val="993366"/>
          <w:sz w:val="16"/>
          <w:lang w:eastAsia="en-GB"/>
        </w:rPr>
        <w:t>SEQUENCE</w:t>
      </w:r>
      <w:r w:rsidRPr="00D252AF">
        <w:rPr>
          <w:rFonts w:ascii="Courier New" w:hAnsi="Courier New"/>
          <w:noProof/>
          <w:sz w:val="16"/>
          <w:lang w:eastAsia="en-GB"/>
        </w:rPr>
        <w:t xml:space="preserve"> {</w:t>
      </w:r>
    </w:p>
    <w:p w14:paraId="4B53566D"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252AF">
        <w:rPr>
          <w:rFonts w:ascii="Courier New" w:hAnsi="Courier New"/>
          <w:noProof/>
          <w:sz w:val="16"/>
          <w:lang w:eastAsia="en-GB"/>
        </w:rPr>
        <w:t xml:space="preserve">    sfi-RNTI                    RNTI-Value,</w:t>
      </w:r>
    </w:p>
    <w:p w14:paraId="5727687E"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252AF">
        <w:rPr>
          <w:rFonts w:ascii="Courier New" w:hAnsi="Courier New"/>
          <w:noProof/>
          <w:sz w:val="16"/>
          <w:lang w:eastAsia="en-GB"/>
        </w:rPr>
        <w:t xml:space="preserve">    dci-PayloadSize             </w:t>
      </w:r>
      <w:r w:rsidRPr="00D252AF">
        <w:rPr>
          <w:rFonts w:ascii="Courier New" w:hAnsi="Courier New"/>
          <w:noProof/>
          <w:color w:val="993366"/>
          <w:sz w:val="16"/>
          <w:lang w:eastAsia="en-GB"/>
        </w:rPr>
        <w:t>INTEGER</w:t>
      </w:r>
      <w:r w:rsidRPr="00D252AF">
        <w:rPr>
          <w:rFonts w:ascii="Courier New" w:hAnsi="Courier New"/>
          <w:noProof/>
          <w:sz w:val="16"/>
          <w:lang w:eastAsia="en-GB"/>
        </w:rPr>
        <w:t xml:space="preserve"> (1..maxSFI-DCI-PayloadSize),</w:t>
      </w:r>
    </w:p>
    <w:p w14:paraId="1DE07BE6"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252AF">
        <w:rPr>
          <w:rFonts w:ascii="Courier New" w:hAnsi="Courier New"/>
          <w:noProof/>
          <w:sz w:val="16"/>
          <w:lang w:eastAsia="en-GB"/>
        </w:rPr>
        <w:t xml:space="preserve">    slotFormatCombToAddModList  </w:t>
      </w:r>
      <w:r w:rsidRPr="00D252AF">
        <w:rPr>
          <w:rFonts w:ascii="Courier New" w:hAnsi="Courier New"/>
          <w:noProof/>
          <w:color w:val="993366"/>
          <w:sz w:val="16"/>
          <w:lang w:eastAsia="en-GB"/>
        </w:rPr>
        <w:t>SEQUENCE</w:t>
      </w:r>
      <w:r w:rsidRPr="00D252AF">
        <w:rPr>
          <w:rFonts w:ascii="Courier New" w:hAnsi="Courier New"/>
          <w:noProof/>
          <w:sz w:val="16"/>
          <w:lang w:eastAsia="en-GB"/>
        </w:rPr>
        <w:t xml:space="preserve"> (</w:t>
      </w:r>
      <w:r w:rsidRPr="00D252AF">
        <w:rPr>
          <w:rFonts w:ascii="Courier New" w:hAnsi="Courier New"/>
          <w:noProof/>
          <w:color w:val="993366"/>
          <w:sz w:val="16"/>
          <w:lang w:eastAsia="en-GB"/>
        </w:rPr>
        <w:t>SIZE</w:t>
      </w:r>
      <w:r w:rsidRPr="00D252AF">
        <w:rPr>
          <w:rFonts w:ascii="Courier New" w:hAnsi="Courier New"/>
          <w:noProof/>
          <w:sz w:val="16"/>
          <w:lang w:eastAsia="en-GB"/>
        </w:rPr>
        <w:t>(1..maxNrofAggregatedCellsPerCellGroup))</w:t>
      </w:r>
      <w:r w:rsidRPr="00D252AF">
        <w:rPr>
          <w:rFonts w:ascii="Courier New" w:hAnsi="Courier New"/>
          <w:noProof/>
          <w:color w:val="993366"/>
          <w:sz w:val="16"/>
          <w:lang w:eastAsia="en-GB"/>
        </w:rPr>
        <w:t xml:space="preserve"> OF</w:t>
      </w:r>
      <w:r w:rsidRPr="00D252AF">
        <w:rPr>
          <w:rFonts w:ascii="Courier New" w:hAnsi="Courier New"/>
          <w:noProof/>
          <w:sz w:val="16"/>
          <w:lang w:eastAsia="en-GB"/>
        </w:rPr>
        <w:t xml:space="preserve"> SlotFormatCombinationsPerCell</w:t>
      </w:r>
    </w:p>
    <w:p w14:paraId="47FDDD07"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D252AF">
        <w:rPr>
          <w:rFonts w:ascii="Courier New" w:hAnsi="Courier New"/>
          <w:noProof/>
          <w:sz w:val="16"/>
          <w:lang w:eastAsia="en-GB"/>
        </w:rPr>
        <w:t xml:space="preserve">                                                                                                                </w:t>
      </w:r>
      <w:r w:rsidRPr="00D252AF">
        <w:rPr>
          <w:rFonts w:ascii="Courier New" w:hAnsi="Courier New"/>
          <w:noProof/>
          <w:color w:val="993366"/>
          <w:sz w:val="16"/>
          <w:lang w:eastAsia="en-GB"/>
        </w:rPr>
        <w:t>OPTIONAL</w:t>
      </w:r>
      <w:r w:rsidRPr="00D252AF">
        <w:rPr>
          <w:rFonts w:ascii="Courier New" w:hAnsi="Courier New"/>
          <w:noProof/>
          <w:sz w:val="16"/>
          <w:lang w:eastAsia="en-GB"/>
        </w:rPr>
        <w:t xml:space="preserve">, </w:t>
      </w:r>
      <w:r w:rsidRPr="00D252AF">
        <w:rPr>
          <w:rFonts w:ascii="Courier New" w:hAnsi="Courier New"/>
          <w:noProof/>
          <w:color w:val="808080"/>
          <w:sz w:val="16"/>
          <w:lang w:eastAsia="en-GB"/>
        </w:rPr>
        <w:t>-- Need N</w:t>
      </w:r>
    </w:p>
    <w:p w14:paraId="71153167"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D252AF">
        <w:rPr>
          <w:rFonts w:ascii="Courier New" w:hAnsi="Courier New"/>
          <w:noProof/>
          <w:sz w:val="16"/>
          <w:lang w:eastAsia="en-GB"/>
        </w:rPr>
        <w:t xml:space="preserve">    slotFormatCombToReleaseList </w:t>
      </w:r>
      <w:r w:rsidRPr="00D252AF">
        <w:rPr>
          <w:rFonts w:ascii="Courier New" w:hAnsi="Courier New"/>
          <w:noProof/>
          <w:color w:val="993366"/>
          <w:sz w:val="16"/>
          <w:lang w:eastAsia="en-GB"/>
        </w:rPr>
        <w:t>SEQUENCE</w:t>
      </w:r>
      <w:r w:rsidRPr="00D252AF">
        <w:rPr>
          <w:rFonts w:ascii="Courier New" w:hAnsi="Courier New"/>
          <w:noProof/>
          <w:sz w:val="16"/>
          <w:lang w:eastAsia="en-GB"/>
        </w:rPr>
        <w:t xml:space="preserve"> (</w:t>
      </w:r>
      <w:r w:rsidRPr="00D252AF">
        <w:rPr>
          <w:rFonts w:ascii="Courier New" w:hAnsi="Courier New"/>
          <w:noProof/>
          <w:color w:val="993366"/>
          <w:sz w:val="16"/>
          <w:lang w:eastAsia="en-GB"/>
        </w:rPr>
        <w:t>SIZE</w:t>
      </w:r>
      <w:r w:rsidRPr="00D252AF">
        <w:rPr>
          <w:rFonts w:ascii="Courier New" w:hAnsi="Courier New"/>
          <w:noProof/>
          <w:sz w:val="16"/>
          <w:lang w:eastAsia="en-GB"/>
        </w:rPr>
        <w:t>(1..maxNrofAggregatedCellsPerCellGroup))</w:t>
      </w:r>
      <w:r w:rsidRPr="00D252AF">
        <w:rPr>
          <w:rFonts w:ascii="Courier New" w:hAnsi="Courier New"/>
          <w:noProof/>
          <w:color w:val="993366"/>
          <w:sz w:val="16"/>
          <w:lang w:eastAsia="en-GB"/>
        </w:rPr>
        <w:t xml:space="preserve"> OF</w:t>
      </w:r>
      <w:r w:rsidRPr="00D252AF">
        <w:rPr>
          <w:rFonts w:ascii="Courier New" w:hAnsi="Courier New"/>
          <w:noProof/>
          <w:sz w:val="16"/>
          <w:lang w:eastAsia="en-GB"/>
        </w:rPr>
        <w:t xml:space="preserve"> ServCellIndex         </w:t>
      </w:r>
      <w:r w:rsidRPr="00D252AF">
        <w:rPr>
          <w:rFonts w:ascii="Courier New" w:hAnsi="Courier New"/>
          <w:noProof/>
          <w:color w:val="993366"/>
          <w:sz w:val="16"/>
          <w:lang w:eastAsia="en-GB"/>
        </w:rPr>
        <w:t>OPTIONAL</w:t>
      </w:r>
      <w:r w:rsidRPr="00D252AF">
        <w:rPr>
          <w:rFonts w:ascii="Courier New" w:hAnsi="Courier New"/>
          <w:noProof/>
          <w:sz w:val="16"/>
          <w:lang w:eastAsia="en-GB"/>
        </w:rPr>
        <w:t xml:space="preserve">, </w:t>
      </w:r>
      <w:r w:rsidRPr="00D252AF">
        <w:rPr>
          <w:rFonts w:ascii="Courier New" w:hAnsi="Courier New"/>
          <w:noProof/>
          <w:color w:val="808080"/>
          <w:sz w:val="16"/>
          <w:lang w:eastAsia="en-GB"/>
        </w:rPr>
        <w:t>-- Need N</w:t>
      </w:r>
    </w:p>
    <w:p w14:paraId="551530C8"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252AF">
        <w:rPr>
          <w:rFonts w:ascii="Courier New" w:hAnsi="Courier New"/>
          <w:noProof/>
          <w:sz w:val="16"/>
          <w:lang w:eastAsia="en-GB"/>
        </w:rPr>
        <w:t xml:space="preserve">    ...</w:t>
      </w:r>
    </w:p>
    <w:p w14:paraId="28FD45F2"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D252AF">
        <w:rPr>
          <w:rFonts w:ascii="Courier New" w:hAnsi="Courier New"/>
          <w:noProof/>
          <w:sz w:val="16"/>
          <w:lang w:eastAsia="en-GB"/>
        </w:rPr>
        <w:t>}</w:t>
      </w:r>
    </w:p>
    <w:p w14:paraId="17710DDD"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72D8C8F"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D252AF">
        <w:rPr>
          <w:rFonts w:ascii="Courier New" w:hAnsi="Courier New"/>
          <w:noProof/>
          <w:color w:val="808080"/>
          <w:sz w:val="16"/>
          <w:lang w:eastAsia="en-GB"/>
        </w:rPr>
        <w:t>-- TAG-SLOTFORMATINDICATOR-STOP</w:t>
      </w:r>
    </w:p>
    <w:p w14:paraId="59762968" w14:textId="77777777" w:rsidR="00D252AF" w:rsidRPr="00D252AF" w:rsidRDefault="00D252AF" w:rsidP="00D252A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D252AF">
        <w:rPr>
          <w:rFonts w:ascii="Courier New" w:hAnsi="Courier New"/>
          <w:noProof/>
          <w:color w:val="808080"/>
          <w:sz w:val="16"/>
          <w:lang w:eastAsia="en-GB"/>
        </w:rPr>
        <w:t>-- ASN1STOP</w:t>
      </w:r>
    </w:p>
    <w:p w14:paraId="251F645B" w14:textId="77777777" w:rsidR="00D252AF" w:rsidRPr="00D252AF" w:rsidRDefault="00D252AF" w:rsidP="00D252A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4"/>
      </w:tblGrid>
      <w:tr w:rsidR="00D252AF" w:rsidRPr="00D252AF" w14:paraId="504B3DC1" w14:textId="77777777" w:rsidTr="006C0FF6">
        <w:tc>
          <w:tcPr>
            <w:tcW w:w="0" w:type="auto"/>
            <w:tcBorders>
              <w:top w:val="single" w:sz="4" w:space="0" w:color="auto"/>
              <w:left w:val="single" w:sz="4" w:space="0" w:color="auto"/>
              <w:bottom w:val="single" w:sz="4" w:space="0" w:color="auto"/>
              <w:right w:val="single" w:sz="4" w:space="0" w:color="auto"/>
            </w:tcBorders>
            <w:hideMark/>
          </w:tcPr>
          <w:p w14:paraId="4059CE47" w14:textId="77777777" w:rsidR="00D252AF" w:rsidRPr="00D252AF" w:rsidRDefault="00D252AF" w:rsidP="00D252AF">
            <w:pPr>
              <w:keepNext/>
              <w:keepLines/>
              <w:spacing w:after="0"/>
              <w:jc w:val="center"/>
              <w:rPr>
                <w:rFonts w:ascii="Arial" w:hAnsi="Arial"/>
                <w:b/>
                <w:sz w:val="18"/>
                <w:szCs w:val="22"/>
              </w:rPr>
            </w:pPr>
            <w:r w:rsidRPr="00D252AF">
              <w:rPr>
                <w:rFonts w:ascii="Arial" w:hAnsi="Arial"/>
                <w:b/>
                <w:i/>
                <w:sz w:val="18"/>
                <w:szCs w:val="22"/>
              </w:rPr>
              <w:t xml:space="preserve">SlotFormatIndicator </w:t>
            </w:r>
            <w:r w:rsidRPr="00D252AF">
              <w:rPr>
                <w:rFonts w:ascii="Arial" w:hAnsi="Arial"/>
                <w:b/>
                <w:sz w:val="18"/>
                <w:szCs w:val="22"/>
              </w:rPr>
              <w:t>field descriptions</w:t>
            </w:r>
          </w:p>
        </w:tc>
      </w:tr>
      <w:tr w:rsidR="00D252AF" w:rsidRPr="00D252AF" w14:paraId="0476F2A3" w14:textId="77777777" w:rsidTr="006C0FF6">
        <w:tc>
          <w:tcPr>
            <w:tcW w:w="0" w:type="auto"/>
            <w:tcBorders>
              <w:top w:val="single" w:sz="4" w:space="0" w:color="auto"/>
              <w:left w:val="single" w:sz="4" w:space="0" w:color="auto"/>
              <w:bottom w:val="single" w:sz="4" w:space="0" w:color="auto"/>
              <w:right w:val="single" w:sz="4" w:space="0" w:color="auto"/>
            </w:tcBorders>
            <w:hideMark/>
          </w:tcPr>
          <w:p w14:paraId="718CE549" w14:textId="77777777" w:rsidR="00D252AF" w:rsidRPr="00D252AF" w:rsidRDefault="00D252AF" w:rsidP="00D252AF">
            <w:pPr>
              <w:keepNext/>
              <w:keepLines/>
              <w:spacing w:after="0"/>
              <w:rPr>
                <w:rFonts w:ascii="Arial" w:hAnsi="Arial"/>
                <w:sz w:val="18"/>
                <w:szCs w:val="22"/>
              </w:rPr>
            </w:pPr>
            <w:r w:rsidRPr="00D252AF">
              <w:rPr>
                <w:rFonts w:ascii="Arial" w:hAnsi="Arial"/>
                <w:b/>
                <w:i/>
                <w:sz w:val="18"/>
                <w:szCs w:val="22"/>
              </w:rPr>
              <w:t>dci-PayloadSize</w:t>
            </w:r>
          </w:p>
          <w:p w14:paraId="454508FF" w14:textId="77777777" w:rsidR="00D252AF" w:rsidRPr="00D252AF" w:rsidRDefault="00D252AF" w:rsidP="00D252AF">
            <w:pPr>
              <w:keepNext/>
              <w:keepLines/>
              <w:spacing w:after="0"/>
              <w:rPr>
                <w:rFonts w:ascii="Arial" w:hAnsi="Arial"/>
                <w:sz w:val="18"/>
                <w:szCs w:val="22"/>
              </w:rPr>
            </w:pPr>
            <w:r w:rsidRPr="00D252AF">
              <w:rPr>
                <w:rFonts w:ascii="Arial" w:hAnsi="Arial"/>
                <w:sz w:val="18"/>
                <w:szCs w:val="22"/>
              </w:rPr>
              <w:t>Total length of the DCI payload scrambled with SFI-RNTI (see TS 38.213 [13], clause 11.1.1).</w:t>
            </w:r>
          </w:p>
        </w:tc>
      </w:tr>
      <w:tr w:rsidR="00D252AF" w:rsidRPr="00D252AF" w14:paraId="61ECF62A" w14:textId="77777777" w:rsidTr="006C0FF6">
        <w:tc>
          <w:tcPr>
            <w:tcW w:w="0" w:type="auto"/>
            <w:tcBorders>
              <w:top w:val="single" w:sz="4" w:space="0" w:color="auto"/>
              <w:left w:val="single" w:sz="4" w:space="0" w:color="auto"/>
              <w:bottom w:val="single" w:sz="4" w:space="0" w:color="auto"/>
              <w:right w:val="single" w:sz="4" w:space="0" w:color="auto"/>
            </w:tcBorders>
            <w:hideMark/>
          </w:tcPr>
          <w:p w14:paraId="6246FC14" w14:textId="77777777" w:rsidR="00D252AF" w:rsidRPr="00D252AF" w:rsidRDefault="00D252AF" w:rsidP="00D252AF">
            <w:pPr>
              <w:keepNext/>
              <w:keepLines/>
              <w:spacing w:after="0"/>
              <w:rPr>
                <w:rFonts w:ascii="Arial" w:hAnsi="Arial"/>
                <w:sz w:val="18"/>
                <w:szCs w:val="22"/>
              </w:rPr>
            </w:pPr>
            <w:r w:rsidRPr="00D252AF">
              <w:rPr>
                <w:rFonts w:ascii="Arial" w:hAnsi="Arial"/>
                <w:b/>
                <w:i/>
                <w:sz w:val="18"/>
                <w:szCs w:val="22"/>
              </w:rPr>
              <w:t>sfi-RNTI</w:t>
            </w:r>
          </w:p>
          <w:p w14:paraId="58417331" w14:textId="77777777" w:rsidR="00D252AF" w:rsidRPr="00D252AF" w:rsidRDefault="00D252AF" w:rsidP="00D252AF">
            <w:pPr>
              <w:keepNext/>
              <w:keepLines/>
              <w:spacing w:after="0"/>
              <w:rPr>
                <w:rFonts w:ascii="Arial" w:hAnsi="Arial"/>
                <w:sz w:val="18"/>
                <w:szCs w:val="22"/>
              </w:rPr>
            </w:pPr>
            <w:r w:rsidRPr="00D252AF">
              <w:rPr>
                <w:rFonts w:ascii="Arial" w:hAnsi="Arial"/>
                <w:sz w:val="18"/>
                <w:szCs w:val="22"/>
              </w:rPr>
              <w:t>RNTI used for SFI on the given cell (see TS 38.213 [13], clause 11.1.1).</w:t>
            </w:r>
          </w:p>
        </w:tc>
      </w:tr>
      <w:tr w:rsidR="00D252AF" w:rsidRPr="00D252AF" w14:paraId="1463E01D" w14:textId="77777777" w:rsidTr="006C0FF6">
        <w:tc>
          <w:tcPr>
            <w:tcW w:w="0" w:type="auto"/>
            <w:tcBorders>
              <w:top w:val="single" w:sz="4" w:space="0" w:color="auto"/>
              <w:left w:val="single" w:sz="4" w:space="0" w:color="auto"/>
              <w:bottom w:val="single" w:sz="4" w:space="0" w:color="auto"/>
              <w:right w:val="single" w:sz="4" w:space="0" w:color="auto"/>
            </w:tcBorders>
            <w:hideMark/>
          </w:tcPr>
          <w:p w14:paraId="5AACA184" w14:textId="77777777" w:rsidR="00D252AF" w:rsidRPr="00D252AF" w:rsidRDefault="00D252AF" w:rsidP="00D252AF">
            <w:pPr>
              <w:keepNext/>
              <w:keepLines/>
              <w:spacing w:after="0"/>
              <w:rPr>
                <w:rFonts w:ascii="Arial" w:hAnsi="Arial"/>
                <w:sz w:val="18"/>
                <w:szCs w:val="22"/>
              </w:rPr>
            </w:pPr>
            <w:r w:rsidRPr="00D252AF">
              <w:rPr>
                <w:rFonts w:ascii="Arial" w:hAnsi="Arial"/>
                <w:b/>
                <w:i/>
                <w:sz w:val="18"/>
                <w:szCs w:val="22"/>
              </w:rPr>
              <w:t>slotFormatCombToAddModList</w:t>
            </w:r>
          </w:p>
          <w:p w14:paraId="2BBD3340" w14:textId="77777777" w:rsidR="00D252AF" w:rsidRPr="00D252AF" w:rsidRDefault="00D252AF" w:rsidP="00D252AF">
            <w:pPr>
              <w:keepNext/>
              <w:keepLines/>
              <w:spacing w:after="0"/>
              <w:rPr>
                <w:rFonts w:ascii="Arial" w:hAnsi="Arial"/>
                <w:sz w:val="18"/>
                <w:szCs w:val="22"/>
              </w:rPr>
            </w:pPr>
            <w:r w:rsidRPr="00D252AF">
              <w:rPr>
                <w:rFonts w:ascii="Arial" w:hAnsi="Arial"/>
                <w:sz w:val="18"/>
                <w:szCs w:val="22"/>
              </w:rPr>
              <w:t>A list of SlotFormatCombinations for the UE's serving cells (see TS 38.213 [13], clause 11.1.1).</w:t>
            </w:r>
          </w:p>
        </w:tc>
      </w:tr>
    </w:tbl>
    <w:p w14:paraId="56998569" w14:textId="77777777" w:rsidR="00D252AF" w:rsidRPr="00D252AF" w:rsidRDefault="00D252AF" w:rsidP="00D252AF"/>
    <w:p w14:paraId="1D03A8B5" w14:textId="77777777" w:rsidR="00747C3C" w:rsidRPr="00747C3C" w:rsidRDefault="00747C3C" w:rsidP="00747C3C">
      <w:pPr>
        <w:keepNext/>
        <w:keepLines/>
        <w:spacing w:before="120"/>
        <w:ind w:left="1418" w:hanging="1418"/>
        <w:outlineLvl w:val="3"/>
        <w:rPr>
          <w:rFonts w:ascii="Arial" w:hAnsi="Arial"/>
          <w:sz w:val="24"/>
          <w:lang w:eastAsia="x-none"/>
        </w:rPr>
      </w:pPr>
      <w:bookmarkStart w:id="84" w:name="_Hlk16240912"/>
      <w:bookmarkStart w:id="85" w:name="_Toc5285419"/>
      <w:r w:rsidRPr="00747C3C">
        <w:rPr>
          <w:rFonts w:ascii="Arial" w:hAnsi="Arial"/>
          <w:sz w:val="24"/>
          <w:lang w:eastAsia="x-none"/>
        </w:rPr>
        <w:t>–</w:t>
      </w:r>
      <w:r w:rsidRPr="00747C3C">
        <w:rPr>
          <w:rFonts w:ascii="Arial" w:hAnsi="Arial"/>
          <w:sz w:val="24"/>
          <w:lang w:eastAsia="x-none"/>
        </w:rPr>
        <w:tab/>
      </w:r>
      <w:bookmarkEnd w:id="84"/>
      <w:r w:rsidRPr="00747C3C">
        <w:rPr>
          <w:rFonts w:ascii="Arial" w:hAnsi="Arial"/>
          <w:i/>
          <w:sz w:val="24"/>
          <w:lang w:eastAsia="x-none"/>
        </w:rPr>
        <w:t>SlotFormatCombinationsPerCell</w:t>
      </w:r>
      <w:bookmarkEnd w:id="85"/>
    </w:p>
    <w:p w14:paraId="306BE472" w14:textId="77777777" w:rsidR="00747C3C" w:rsidRPr="00747C3C" w:rsidRDefault="00747C3C" w:rsidP="00747C3C">
      <w:r w:rsidRPr="00747C3C">
        <w:t xml:space="preserve">The IE </w:t>
      </w:r>
      <w:r w:rsidRPr="00747C3C">
        <w:rPr>
          <w:i/>
        </w:rPr>
        <w:t>SlotFormatCombinationsPerCell</w:t>
      </w:r>
      <w:r w:rsidRPr="00747C3C">
        <w:t xml:space="preserve"> is used to configure the SlotFormatCombinations applicable for one serving cell (see TS 38.213 [13], clause 11.1.1).</w:t>
      </w:r>
    </w:p>
    <w:p w14:paraId="3627C833" w14:textId="77777777" w:rsidR="00747C3C" w:rsidRPr="00747C3C" w:rsidRDefault="00747C3C" w:rsidP="00747C3C">
      <w:pPr>
        <w:keepNext/>
        <w:keepLines/>
        <w:spacing w:before="60"/>
        <w:jc w:val="center"/>
        <w:rPr>
          <w:rFonts w:ascii="Arial" w:hAnsi="Arial"/>
          <w:b/>
          <w:lang w:eastAsia="x-none"/>
        </w:rPr>
      </w:pPr>
      <w:r w:rsidRPr="00747C3C">
        <w:rPr>
          <w:rFonts w:ascii="Arial" w:hAnsi="Arial"/>
          <w:b/>
          <w:i/>
          <w:lang w:eastAsia="x-none"/>
        </w:rPr>
        <w:t>SlotFormatCombinationsPerCell</w:t>
      </w:r>
      <w:r w:rsidRPr="00747C3C">
        <w:rPr>
          <w:rFonts w:ascii="Arial" w:hAnsi="Arial"/>
          <w:b/>
          <w:lang w:eastAsia="x-none"/>
        </w:rPr>
        <w:t xml:space="preserve"> information element</w:t>
      </w:r>
    </w:p>
    <w:p w14:paraId="2F381DC0"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747C3C">
        <w:rPr>
          <w:rFonts w:ascii="Courier New" w:hAnsi="Courier New"/>
          <w:noProof/>
          <w:color w:val="808080"/>
          <w:sz w:val="16"/>
          <w:lang w:eastAsia="en-GB"/>
        </w:rPr>
        <w:t>-- ASN1START</w:t>
      </w:r>
    </w:p>
    <w:p w14:paraId="16DA24B2"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747C3C">
        <w:rPr>
          <w:rFonts w:ascii="Courier New" w:hAnsi="Courier New"/>
          <w:noProof/>
          <w:color w:val="808080"/>
          <w:sz w:val="16"/>
          <w:lang w:eastAsia="en-GB"/>
        </w:rPr>
        <w:t>-- TAG-SLOTFORMATCOMBINATIONSPERCELL-START</w:t>
      </w:r>
    </w:p>
    <w:p w14:paraId="49BE8141"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2C71641F"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47C3C">
        <w:rPr>
          <w:rFonts w:ascii="Courier New" w:hAnsi="Courier New"/>
          <w:noProof/>
          <w:sz w:val="16"/>
          <w:lang w:eastAsia="en-GB"/>
        </w:rPr>
        <w:t xml:space="preserve">SlotFormatCombinationsPerCell ::=   </w:t>
      </w:r>
      <w:r w:rsidRPr="00747C3C">
        <w:rPr>
          <w:rFonts w:ascii="Courier New" w:hAnsi="Courier New"/>
          <w:noProof/>
          <w:color w:val="993366"/>
          <w:sz w:val="16"/>
          <w:lang w:eastAsia="en-GB"/>
        </w:rPr>
        <w:t>SEQUENCE</w:t>
      </w:r>
      <w:r w:rsidRPr="00747C3C">
        <w:rPr>
          <w:rFonts w:ascii="Courier New" w:hAnsi="Courier New"/>
          <w:noProof/>
          <w:sz w:val="16"/>
          <w:lang w:eastAsia="en-GB"/>
        </w:rPr>
        <w:t xml:space="preserve"> {</w:t>
      </w:r>
    </w:p>
    <w:p w14:paraId="151AB402"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47C3C">
        <w:rPr>
          <w:rFonts w:ascii="Courier New" w:hAnsi="Courier New"/>
          <w:noProof/>
          <w:sz w:val="16"/>
          <w:lang w:eastAsia="en-GB"/>
        </w:rPr>
        <w:t xml:space="preserve">    servingCellId                       ServCellIndex,</w:t>
      </w:r>
    </w:p>
    <w:p w14:paraId="3C7873CA"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47C3C">
        <w:rPr>
          <w:rFonts w:ascii="Courier New" w:hAnsi="Courier New"/>
          <w:noProof/>
          <w:sz w:val="16"/>
          <w:lang w:eastAsia="en-GB"/>
        </w:rPr>
        <w:t xml:space="preserve">    subcarrierSpacing                   SubcarrierSpacing,</w:t>
      </w:r>
    </w:p>
    <w:p w14:paraId="73FED5A9"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747C3C">
        <w:rPr>
          <w:rFonts w:ascii="Courier New" w:hAnsi="Courier New"/>
          <w:noProof/>
          <w:sz w:val="16"/>
          <w:lang w:eastAsia="en-GB"/>
        </w:rPr>
        <w:t xml:space="preserve">    subcarrierSpacing2                  SubcarrierSpacing                                                         </w:t>
      </w:r>
      <w:r w:rsidRPr="00747C3C">
        <w:rPr>
          <w:rFonts w:ascii="Courier New" w:hAnsi="Courier New"/>
          <w:noProof/>
          <w:color w:val="993366"/>
          <w:sz w:val="16"/>
          <w:lang w:eastAsia="en-GB"/>
        </w:rPr>
        <w:t>OPTIONAL</w:t>
      </w:r>
      <w:r w:rsidRPr="00747C3C">
        <w:rPr>
          <w:rFonts w:ascii="Courier New" w:hAnsi="Courier New"/>
          <w:noProof/>
          <w:sz w:val="16"/>
          <w:lang w:eastAsia="en-GB"/>
        </w:rPr>
        <w:t xml:space="preserve">, </w:t>
      </w:r>
      <w:r w:rsidRPr="00747C3C">
        <w:rPr>
          <w:rFonts w:ascii="Courier New" w:hAnsi="Courier New"/>
          <w:noProof/>
          <w:color w:val="808080"/>
          <w:sz w:val="16"/>
          <w:lang w:eastAsia="en-GB"/>
        </w:rPr>
        <w:t>-- Need R</w:t>
      </w:r>
    </w:p>
    <w:p w14:paraId="1257A6F7"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47C3C">
        <w:rPr>
          <w:rFonts w:ascii="Courier New" w:hAnsi="Courier New"/>
          <w:noProof/>
          <w:sz w:val="16"/>
          <w:lang w:eastAsia="en-GB"/>
        </w:rPr>
        <w:t xml:space="preserve">    slotFormatCombinations              </w:t>
      </w:r>
      <w:r w:rsidRPr="00747C3C">
        <w:rPr>
          <w:rFonts w:ascii="Courier New" w:hAnsi="Courier New"/>
          <w:noProof/>
          <w:color w:val="993366"/>
          <w:sz w:val="16"/>
          <w:lang w:eastAsia="en-GB"/>
        </w:rPr>
        <w:t>SEQUENCE</w:t>
      </w:r>
      <w:r w:rsidRPr="00747C3C">
        <w:rPr>
          <w:rFonts w:ascii="Courier New" w:hAnsi="Courier New"/>
          <w:noProof/>
          <w:sz w:val="16"/>
          <w:lang w:eastAsia="en-GB"/>
        </w:rPr>
        <w:t xml:space="preserve"> (</w:t>
      </w:r>
      <w:r w:rsidRPr="00747C3C">
        <w:rPr>
          <w:rFonts w:ascii="Courier New" w:hAnsi="Courier New"/>
          <w:noProof/>
          <w:color w:val="993366"/>
          <w:sz w:val="16"/>
          <w:lang w:eastAsia="en-GB"/>
        </w:rPr>
        <w:t>SIZE</w:t>
      </w:r>
      <w:r w:rsidRPr="00747C3C">
        <w:rPr>
          <w:rFonts w:ascii="Courier New" w:hAnsi="Courier New"/>
          <w:noProof/>
          <w:sz w:val="16"/>
          <w:lang w:eastAsia="en-GB"/>
        </w:rPr>
        <w:t xml:space="preserve"> (1..maxNrofSlotFormatCombinationsPerSet))</w:t>
      </w:r>
      <w:r w:rsidRPr="00747C3C">
        <w:rPr>
          <w:rFonts w:ascii="Courier New" w:hAnsi="Courier New"/>
          <w:noProof/>
          <w:color w:val="993366"/>
          <w:sz w:val="16"/>
          <w:lang w:eastAsia="en-GB"/>
        </w:rPr>
        <w:t xml:space="preserve"> OF</w:t>
      </w:r>
      <w:r w:rsidRPr="00747C3C">
        <w:rPr>
          <w:rFonts w:ascii="Courier New" w:hAnsi="Courier New"/>
          <w:noProof/>
          <w:sz w:val="16"/>
          <w:lang w:eastAsia="en-GB"/>
        </w:rPr>
        <w:t xml:space="preserve"> SlotFormatCombination</w:t>
      </w:r>
    </w:p>
    <w:p w14:paraId="47ACFADE"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747C3C">
        <w:rPr>
          <w:rFonts w:ascii="Courier New" w:hAnsi="Courier New"/>
          <w:noProof/>
          <w:sz w:val="16"/>
          <w:lang w:eastAsia="en-GB"/>
        </w:rPr>
        <w:t xml:space="preserve">                                                                                                                  </w:t>
      </w:r>
      <w:r w:rsidRPr="00747C3C">
        <w:rPr>
          <w:rFonts w:ascii="Courier New" w:hAnsi="Courier New"/>
          <w:noProof/>
          <w:color w:val="993366"/>
          <w:sz w:val="16"/>
          <w:lang w:eastAsia="en-GB"/>
        </w:rPr>
        <w:t>OPTIONAL</w:t>
      </w:r>
      <w:r w:rsidRPr="00747C3C">
        <w:rPr>
          <w:rFonts w:ascii="Courier New" w:hAnsi="Courier New"/>
          <w:noProof/>
          <w:sz w:val="16"/>
          <w:lang w:eastAsia="en-GB"/>
        </w:rPr>
        <w:t xml:space="preserve">, </w:t>
      </w:r>
      <w:r w:rsidRPr="00747C3C">
        <w:rPr>
          <w:rFonts w:ascii="Courier New" w:hAnsi="Courier New"/>
          <w:noProof/>
          <w:color w:val="808080"/>
          <w:sz w:val="16"/>
          <w:lang w:eastAsia="en-GB"/>
        </w:rPr>
        <w:t>-- Need M</w:t>
      </w:r>
    </w:p>
    <w:p w14:paraId="5220E5C6"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747C3C">
        <w:rPr>
          <w:rFonts w:ascii="Courier New" w:hAnsi="Courier New"/>
          <w:noProof/>
          <w:sz w:val="16"/>
          <w:lang w:eastAsia="en-GB"/>
        </w:rPr>
        <w:t xml:space="preserve">    positionInDCI                       </w:t>
      </w:r>
      <w:r w:rsidRPr="00747C3C">
        <w:rPr>
          <w:rFonts w:ascii="Courier New" w:hAnsi="Courier New"/>
          <w:noProof/>
          <w:color w:val="993366"/>
          <w:sz w:val="16"/>
          <w:lang w:eastAsia="en-GB"/>
        </w:rPr>
        <w:t>INTEGER</w:t>
      </w:r>
      <w:r w:rsidRPr="00747C3C">
        <w:rPr>
          <w:rFonts w:ascii="Courier New" w:hAnsi="Courier New"/>
          <w:noProof/>
          <w:sz w:val="16"/>
          <w:lang w:eastAsia="en-GB"/>
        </w:rPr>
        <w:t xml:space="preserve">(0..maxSFI-DCI-PayloadSize-1)                                      </w:t>
      </w:r>
      <w:r w:rsidRPr="00747C3C">
        <w:rPr>
          <w:rFonts w:ascii="Courier New" w:hAnsi="Courier New"/>
          <w:noProof/>
          <w:color w:val="993366"/>
          <w:sz w:val="16"/>
          <w:lang w:eastAsia="en-GB"/>
        </w:rPr>
        <w:t>OPTIONAL</w:t>
      </w:r>
      <w:r w:rsidRPr="00747C3C">
        <w:rPr>
          <w:rFonts w:ascii="Courier New" w:hAnsi="Courier New"/>
          <w:noProof/>
          <w:sz w:val="16"/>
          <w:lang w:eastAsia="en-GB"/>
        </w:rPr>
        <w:t xml:space="preserve">, </w:t>
      </w:r>
      <w:r w:rsidRPr="00747C3C">
        <w:rPr>
          <w:rFonts w:ascii="Courier New" w:hAnsi="Courier New"/>
          <w:noProof/>
          <w:color w:val="808080"/>
          <w:sz w:val="16"/>
          <w:lang w:eastAsia="en-GB"/>
        </w:rPr>
        <w:t>-- Need M</w:t>
      </w:r>
    </w:p>
    <w:p w14:paraId="531BAF93"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47C3C">
        <w:rPr>
          <w:rFonts w:ascii="Courier New" w:hAnsi="Courier New"/>
          <w:noProof/>
          <w:sz w:val="16"/>
          <w:lang w:eastAsia="en-GB"/>
        </w:rPr>
        <w:t xml:space="preserve">    ...</w:t>
      </w:r>
    </w:p>
    <w:p w14:paraId="682B81A7"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47C3C">
        <w:rPr>
          <w:rFonts w:ascii="Courier New" w:hAnsi="Courier New"/>
          <w:noProof/>
          <w:sz w:val="16"/>
          <w:lang w:eastAsia="en-GB"/>
        </w:rPr>
        <w:t>}</w:t>
      </w:r>
    </w:p>
    <w:p w14:paraId="6819C90B"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4042A1FC"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47C3C">
        <w:rPr>
          <w:rFonts w:ascii="Courier New" w:hAnsi="Courier New"/>
          <w:noProof/>
          <w:sz w:val="16"/>
          <w:lang w:eastAsia="en-GB"/>
        </w:rPr>
        <w:t xml:space="preserve">SlotFormatCombination ::=           </w:t>
      </w:r>
      <w:r w:rsidRPr="00747C3C">
        <w:rPr>
          <w:rFonts w:ascii="Courier New" w:hAnsi="Courier New"/>
          <w:noProof/>
          <w:color w:val="993366"/>
          <w:sz w:val="16"/>
          <w:lang w:eastAsia="en-GB"/>
        </w:rPr>
        <w:t>SEQUENCE</w:t>
      </w:r>
      <w:r w:rsidRPr="00747C3C">
        <w:rPr>
          <w:rFonts w:ascii="Courier New" w:hAnsi="Courier New"/>
          <w:noProof/>
          <w:sz w:val="16"/>
          <w:lang w:eastAsia="en-GB"/>
        </w:rPr>
        <w:t xml:space="preserve"> {</w:t>
      </w:r>
    </w:p>
    <w:p w14:paraId="574D051B"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47C3C">
        <w:rPr>
          <w:rFonts w:ascii="Courier New" w:hAnsi="Courier New"/>
          <w:noProof/>
          <w:sz w:val="16"/>
          <w:lang w:eastAsia="en-GB"/>
        </w:rPr>
        <w:t xml:space="preserve">    slotFormatCombinationId             SlotFormatCombinationId,</w:t>
      </w:r>
    </w:p>
    <w:p w14:paraId="40C9BE5E"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47C3C">
        <w:rPr>
          <w:rFonts w:ascii="Courier New" w:hAnsi="Courier New"/>
          <w:noProof/>
          <w:sz w:val="16"/>
          <w:lang w:eastAsia="en-GB"/>
        </w:rPr>
        <w:t xml:space="preserve">    slotFormats                         </w:t>
      </w:r>
      <w:r w:rsidRPr="00747C3C">
        <w:rPr>
          <w:rFonts w:ascii="Courier New" w:hAnsi="Courier New"/>
          <w:noProof/>
          <w:color w:val="993366"/>
          <w:sz w:val="16"/>
          <w:lang w:eastAsia="en-GB"/>
        </w:rPr>
        <w:t>SEQUENCE</w:t>
      </w:r>
      <w:r w:rsidRPr="00747C3C">
        <w:rPr>
          <w:rFonts w:ascii="Courier New" w:hAnsi="Courier New"/>
          <w:noProof/>
          <w:sz w:val="16"/>
          <w:lang w:eastAsia="en-GB"/>
        </w:rPr>
        <w:t xml:space="preserve"> (</w:t>
      </w:r>
      <w:r w:rsidRPr="00747C3C">
        <w:rPr>
          <w:rFonts w:ascii="Courier New" w:hAnsi="Courier New"/>
          <w:noProof/>
          <w:color w:val="993366"/>
          <w:sz w:val="16"/>
          <w:lang w:eastAsia="en-GB"/>
        </w:rPr>
        <w:t>SIZE</w:t>
      </w:r>
      <w:r w:rsidRPr="00747C3C">
        <w:rPr>
          <w:rFonts w:ascii="Courier New" w:hAnsi="Courier New"/>
          <w:noProof/>
          <w:sz w:val="16"/>
          <w:lang w:eastAsia="en-GB"/>
        </w:rPr>
        <w:t xml:space="preserve"> (1..maxNrofSlotFormatsPerCombination))</w:t>
      </w:r>
      <w:r w:rsidRPr="00747C3C">
        <w:rPr>
          <w:rFonts w:ascii="Courier New" w:hAnsi="Courier New"/>
          <w:noProof/>
          <w:color w:val="993366"/>
          <w:sz w:val="16"/>
          <w:lang w:eastAsia="en-GB"/>
        </w:rPr>
        <w:t xml:space="preserve"> OF</w:t>
      </w:r>
      <w:r w:rsidRPr="00747C3C">
        <w:rPr>
          <w:rFonts w:ascii="Courier New" w:hAnsi="Courier New"/>
          <w:noProof/>
          <w:sz w:val="16"/>
          <w:lang w:eastAsia="en-GB"/>
        </w:rPr>
        <w:t xml:space="preserve"> </w:t>
      </w:r>
      <w:r w:rsidRPr="00747C3C">
        <w:rPr>
          <w:rFonts w:ascii="Courier New" w:hAnsi="Courier New"/>
          <w:noProof/>
          <w:color w:val="993366"/>
          <w:sz w:val="16"/>
          <w:lang w:eastAsia="en-GB"/>
        </w:rPr>
        <w:t>INTEGER</w:t>
      </w:r>
      <w:r w:rsidRPr="00747C3C">
        <w:rPr>
          <w:rFonts w:ascii="Courier New" w:hAnsi="Courier New"/>
          <w:noProof/>
          <w:sz w:val="16"/>
          <w:lang w:eastAsia="en-GB"/>
        </w:rPr>
        <w:t xml:space="preserve"> (0..255)</w:t>
      </w:r>
    </w:p>
    <w:p w14:paraId="1698E2A9"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47C3C">
        <w:rPr>
          <w:rFonts w:ascii="Courier New" w:hAnsi="Courier New"/>
          <w:noProof/>
          <w:sz w:val="16"/>
          <w:lang w:eastAsia="en-GB"/>
        </w:rPr>
        <w:t>}</w:t>
      </w:r>
    </w:p>
    <w:p w14:paraId="023C1DF4"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5755C1BA"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747C3C">
        <w:rPr>
          <w:rFonts w:ascii="Courier New" w:hAnsi="Courier New"/>
          <w:noProof/>
          <w:sz w:val="16"/>
          <w:lang w:eastAsia="en-GB"/>
        </w:rPr>
        <w:t xml:space="preserve">SlotFormatCombinationId ::=         </w:t>
      </w:r>
      <w:r w:rsidRPr="00747C3C">
        <w:rPr>
          <w:rFonts w:ascii="Courier New" w:hAnsi="Courier New"/>
          <w:noProof/>
          <w:color w:val="993366"/>
          <w:sz w:val="16"/>
          <w:lang w:eastAsia="en-GB"/>
        </w:rPr>
        <w:t>INTEGER</w:t>
      </w:r>
      <w:r w:rsidRPr="00747C3C">
        <w:rPr>
          <w:rFonts w:ascii="Courier New" w:hAnsi="Courier New"/>
          <w:noProof/>
          <w:sz w:val="16"/>
          <w:lang w:eastAsia="en-GB"/>
        </w:rPr>
        <w:t xml:space="preserve"> (0..maxNrofSlotFormatCombinationsPerSet-1)</w:t>
      </w:r>
    </w:p>
    <w:p w14:paraId="0FF5DD3C"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634F70C"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747C3C">
        <w:rPr>
          <w:rFonts w:ascii="Courier New" w:hAnsi="Courier New"/>
          <w:noProof/>
          <w:color w:val="808080"/>
          <w:sz w:val="16"/>
          <w:lang w:eastAsia="en-GB"/>
        </w:rPr>
        <w:t>-- TAG-SLOTFORMATCOMBINATIONSPERCELL-STOP</w:t>
      </w:r>
    </w:p>
    <w:p w14:paraId="18F686AA" w14:textId="77777777" w:rsidR="00747C3C" w:rsidRPr="00747C3C" w:rsidRDefault="00747C3C" w:rsidP="00747C3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747C3C">
        <w:rPr>
          <w:rFonts w:ascii="Courier New" w:hAnsi="Courier New"/>
          <w:noProof/>
          <w:color w:val="808080"/>
          <w:sz w:val="16"/>
          <w:lang w:eastAsia="en-GB"/>
        </w:rPr>
        <w:t>-- ASN1STOP</w:t>
      </w:r>
    </w:p>
    <w:p w14:paraId="4498F289" w14:textId="77777777" w:rsidR="00747C3C" w:rsidRPr="00747C3C" w:rsidRDefault="00747C3C" w:rsidP="00747C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47C3C" w:rsidRPr="00747C3C" w14:paraId="41029EFB" w14:textId="77777777" w:rsidTr="00747C3C">
        <w:tc>
          <w:tcPr>
            <w:tcW w:w="0" w:type="auto"/>
            <w:tcBorders>
              <w:top w:val="single" w:sz="4" w:space="0" w:color="auto"/>
              <w:left w:val="single" w:sz="4" w:space="0" w:color="auto"/>
              <w:bottom w:val="single" w:sz="4" w:space="0" w:color="auto"/>
              <w:right w:val="single" w:sz="4" w:space="0" w:color="auto"/>
            </w:tcBorders>
            <w:hideMark/>
          </w:tcPr>
          <w:p w14:paraId="3A9D5640" w14:textId="77777777" w:rsidR="00747C3C" w:rsidRPr="00747C3C" w:rsidRDefault="00747C3C" w:rsidP="00747C3C">
            <w:pPr>
              <w:keepNext/>
              <w:keepLines/>
              <w:spacing w:after="0"/>
              <w:jc w:val="center"/>
              <w:rPr>
                <w:rFonts w:ascii="Arial" w:hAnsi="Arial"/>
                <w:b/>
                <w:sz w:val="18"/>
                <w:szCs w:val="22"/>
              </w:rPr>
            </w:pPr>
            <w:r w:rsidRPr="00747C3C">
              <w:rPr>
                <w:rFonts w:ascii="Arial" w:hAnsi="Arial"/>
                <w:b/>
                <w:i/>
                <w:sz w:val="18"/>
                <w:szCs w:val="22"/>
              </w:rPr>
              <w:t xml:space="preserve">SlotFormatCombination </w:t>
            </w:r>
            <w:r w:rsidRPr="00747C3C">
              <w:rPr>
                <w:rFonts w:ascii="Arial" w:hAnsi="Arial"/>
                <w:b/>
                <w:sz w:val="18"/>
                <w:szCs w:val="22"/>
              </w:rPr>
              <w:t>field descriptions</w:t>
            </w:r>
          </w:p>
        </w:tc>
      </w:tr>
      <w:tr w:rsidR="00747C3C" w:rsidRPr="00747C3C" w14:paraId="52E24374" w14:textId="77777777" w:rsidTr="00747C3C">
        <w:tc>
          <w:tcPr>
            <w:tcW w:w="0" w:type="auto"/>
            <w:tcBorders>
              <w:top w:val="single" w:sz="4" w:space="0" w:color="auto"/>
              <w:left w:val="single" w:sz="4" w:space="0" w:color="auto"/>
              <w:bottom w:val="single" w:sz="4" w:space="0" w:color="auto"/>
              <w:right w:val="single" w:sz="4" w:space="0" w:color="auto"/>
            </w:tcBorders>
            <w:hideMark/>
          </w:tcPr>
          <w:p w14:paraId="1C99D2D6" w14:textId="77777777" w:rsidR="00747C3C" w:rsidRPr="00747C3C" w:rsidRDefault="00747C3C" w:rsidP="00747C3C">
            <w:pPr>
              <w:keepNext/>
              <w:keepLines/>
              <w:spacing w:after="0"/>
              <w:rPr>
                <w:rFonts w:ascii="Arial" w:hAnsi="Arial"/>
                <w:sz w:val="18"/>
                <w:szCs w:val="22"/>
              </w:rPr>
            </w:pPr>
            <w:r w:rsidRPr="00747C3C">
              <w:rPr>
                <w:rFonts w:ascii="Arial" w:hAnsi="Arial"/>
                <w:b/>
                <w:i/>
                <w:sz w:val="18"/>
                <w:szCs w:val="22"/>
              </w:rPr>
              <w:t>slotFormatCombinationId</w:t>
            </w:r>
          </w:p>
          <w:p w14:paraId="543A1270" w14:textId="77777777" w:rsidR="00747C3C" w:rsidRPr="00747C3C" w:rsidRDefault="00747C3C" w:rsidP="00747C3C">
            <w:pPr>
              <w:keepNext/>
              <w:keepLines/>
              <w:spacing w:after="0"/>
              <w:rPr>
                <w:rFonts w:ascii="Arial" w:hAnsi="Arial"/>
                <w:sz w:val="18"/>
                <w:szCs w:val="22"/>
              </w:rPr>
            </w:pPr>
            <w:r w:rsidRPr="00747C3C">
              <w:rPr>
                <w:rFonts w:ascii="Arial" w:hAnsi="Arial"/>
                <w:sz w:val="18"/>
                <w:szCs w:val="22"/>
              </w:rPr>
              <w:t>This ID is used in the DCI payload to dynamically select this SlotFormatCombination, see TS 38.213 [13], clause 11.1.1.</w:t>
            </w:r>
          </w:p>
        </w:tc>
      </w:tr>
      <w:tr w:rsidR="00747C3C" w:rsidRPr="00747C3C" w14:paraId="1FDE7049" w14:textId="77777777" w:rsidTr="00747C3C">
        <w:tc>
          <w:tcPr>
            <w:tcW w:w="0" w:type="auto"/>
            <w:tcBorders>
              <w:top w:val="single" w:sz="4" w:space="0" w:color="auto"/>
              <w:left w:val="single" w:sz="4" w:space="0" w:color="auto"/>
              <w:bottom w:val="single" w:sz="4" w:space="0" w:color="auto"/>
              <w:right w:val="single" w:sz="4" w:space="0" w:color="auto"/>
            </w:tcBorders>
            <w:hideMark/>
          </w:tcPr>
          <w:p w14:paraId="4D42A124" w14:textId="77777777" w:rsidR="00747C3C" w:rsidRPr="00747C3C" w:rsidRDefault="00747C3C" w:rsidP="00747C3C">
            <w:pPr>
              <w:keepNext/>
              <w:keepLines/>
              <w:spacing w:after="0"/>
              <w:rPr>
                <w:rFonts w:ascii="Arial" w:hAnsi="Arial"/>
                <w:sz w:val="18"/>
                <w:szCs w:val="22"/>
              </w:rPr>
            </w:pPr>
            <w:r w:rsidRPr="00747C3C">
              <w:rPr>
                <w:rFonts w:ascii="Arial" w:hAnsi="Arial"/>
                <w:b/>
                <w:i/>
                <w:sz w:val="18"/>
                <w:szCs w:val="22"/>
              </w:rPr>
              <w:t>slotFormats</w:t>
            </w:r>
          </w:p>
          <w:p w14:paraId="102CC06B" w14:textId="77777777" w:rsidR="00747C3C" w:rsidRPr="00747C3C" w:rsidRDefault="00747C3C" w:rsidP="00747C3C">
            <w:pPr>
              <w:keepNext/>
              <w:keepLines/>
              <w:spacing w:after="0"/>
              <w:rPr>
                <w:rFonts w:ascii="Arial" w:hAnsi="Arial"/>
                <w:sz w:val="18"/>
                <w:szCs w:val="22"/>
              </w:rPr>
            </w:pPr>
            <w:r w:rsidRPr="00747C3C">
              <w:rPr>
                <w:rFonts w:ascii="Arial" w:hAnsi="Arial"/>
                <w:sz w:val="18"/>
                <w:szCs w:val="22"/>
              </w:rPr>
              <w:t>Slot formats that occur in consecutive slots in time domain order as listed here (see TS 38.213 [13], clause 11.1.1).</w:t>
            </w:r>
          </w:p>
        </w:tc>
      </w:tr>
      <w:tr w:rsidR="00747C3C" w:rsidRPr="00747C3C" w14:paraId="7EE27B01" w14:textId="77777777" w:rsidTr="00877B3A">
        <w:tc>
          <w:tcPr>
            <w:tcW w:w="0" w:type="auto"/>
            <w:tcBorders>
              <w:top w:val="single" w:sz="4" w:space="0" w:color="auto"/>
              <w:left w:val="single" w:sz="4" w:space="0" w:color="auto"/>
              <w:bottom w:val="single" w:sz="4" w:space="0" w:color="auto"/>
              <w:right w:val="single" w:sz="4" w:space="0" w:color="auto"/>
            </w:tcBorders>
            <w:hideMark/>
          </w:tcPr>
          <w:p w14:paraId="0D829BB2" w14:textId="77777777" w:rsidR="00747C3C" w:rsidRPr="00747C3C" w:rsidRDefault="00747C3C" w:rsidP="00877B3A">
            <w:pPr>
              <w:keepNext/>
              <w:keepLines/>
              <w:spacing w:after="0"/>
              <w:rPr>
                <w:rFonts w:ascii="Arial" w:hAnsi="Arial"/>
                <w:sz w:val="18"/>
                <w:szCs w:val="22"/>
              </w:rPr>
            </w:pPr>
            <w:r w:rsidRPr="00747C3C">
              <w:rPr>
                <w:rFonts w:ascii="Arial" w:hAnsi="Arial"/>
                <w:b/>
                <w:i/>
                <w:sz w:val="18"/>
                <w:szCs w:val="22"/>
              </w:rPr>
              <w:t>positionInDCI</w:t>
            </w:r>
          </w:p>
          <w:p w14:paraId="669BB7AE" w14:textId="77777777" w:rsidR="00747C3C" w:rsidRPr="00747C3C" w:rsidRDefault="00747C3C" w:rsidP="00877B3A">
            <w:pPr>
              <w:keepNext/>
              <w:keepLines/>
              <w:spacing w:after="0"/>
              <w:rPr>
                <w:rFonts w:ascii="Arial" w:hAnsi="Arial"/>
                <w:sz w:val="18"/>
                <w:szCs w:val="22"/>
              </w:rPr>
            </w:pPr>
            <w:r w:rsidRPr="00747C3C">
              <w:rPr>
                <w:rFonts w:ascii="Arial" w:hAnsi="Arial"/>
                <w:sz w:val="18"/>
                <w:szCs w:val="22"/>
              </w:rPr>
              <w:t>The (starting) position (bit) of the slotFormatCombinationId (SFI-Index) for this serving cell (servingCellId) within the DCI payload (see TS 38.213 [13], clause 11.1.1).</w:t>
            </w:r>
          </w:p>
        </w:tc>
      </w:tr>
      <w:tr w:rsidR="00747C3C" w:rsidRPr="00747C3C" w14:paraId="53088F06" w14:textId="77777777" w:rsidTr="00877B3A">
        <w:tc>
          <w:tcPr>
            <w:tcW w:w="0" w:type="auto"/>
            <w:tcBorders>
              <w:top w:val="single" w:sz="4" w:space="0" w:color="auto"/>
              <w:left w:val="single" w:sz="4" w:space="0" w:color="auto"/>
              <w:bottom w:val="single" w:sz="4" w:space="0" w:color="auto"/>
              <w:right w:val="single" w:sz="4" w:space="0" w:color="auto"/>
            </w:tcBorders>
            <w:hideMark/>
          </w:tcPr>
          <w:p w14:paraId="5195CBAD" w14:textId="77777777" w:rsidR="00747C3C" w:rsidRPr="00747C3C" w:rsidRDefault="00747C3C" w:rsidP="00877B3A">
            <w:pPr>
              <w:keepNext/>
              <w:keepLines/>
              <w:spacing w:after="0"/>
              <w:rPr>
                <w:rFonts w:ascii="Arial" w:hAnsi="Arial"/>
                <w:sz w:val="18"/>
                <w:szCs w:val="22"/>
              </w:rPr>
            </w:pPr>
            <w:r w:rsidRPr="00747C3C">
              <w:rPr>
                <w:rFonts w:ascii="Arial" w:hAnsi="Arial"/>
                <w:b/>
                <w:i/>
                <w:sz w:val="18"/>
                <w:szCs w:val="22"/>
              </w:rPr>
              <w:t>servingCellId</w:t>
            </w:r>
          </w:p>
          <w:p w14:paraId="7AB37E7E" w14:textId="77777777" w:rsidR="00747C3C" w:rsidRPr="00747C3C" w:rsidRDefault="00747C3C" w:rsidP="00877B3A">
            <w:pPr>
              <w:keepNext/>
              <w:keepLines/>
              <w:spacing w:after="0"/>
              <w:rPr>
                <w:rFonts w:ascii="Arial" w:hAnsi="Arial"/>
                <w:sz w:val="18"/>
                <w:szCs w:val="22"/>
              </w:rPr>
            </w:pPr>
            <w:r w:rsidRPr="00747C3C">
              <w:rPr>
                <w:rFonts w:ascii="Arial" w:hAnsi="Arial"/>
                <w:sz w:val="18"/>
                <w:szCs w:val="22"/>
              </w:rPr>
              <w:t>The ID of the serving cell for which the slotFormatCombinations are applicable.</w:t>
            </w:r>
          </w:p>
        </w:tc>
      </w:tr>
      <w:tr w:rsidR="00747C3C" w:rsidRPr="00747C3C" w14:paraId="75EA53BD" w14:textId="77777777" w:rsidTr="00877B3A">
        <w:tc>
          <w:tcPr>
            <w:tcW w:w="0" w:type="auto"/>
            <w:tcBorders>
              <w:top w:val="single" w:sz="4" w:space="0" w:color="auto"/>
              <w:left w:val="single" w:sz="4" w:space="0" w:color="auto"/>
              <w:bottom w:val="single" w:sz="4" w:space="0" w:color="auto"/>
              <w:right w:val="single" w:sz="4" w:space="0" w:color="auto"/>
            </w:tcBorders>
            <w:hideMark/>
          </w:tcPr>
          <w:p w14:paraId="0A63BEB6" w14:textId="77777777" w:rsidR="00747C3C" w:rsidRPr="00747C3C" w:rsidRDefault="00747C3C" w:rsidP="00877B3A">
            <w:pPr>
              <w:keepNext/>
              <w:keepLines/>
              <w:spacing w:after="0"/>
              <w:rPr>
                <w:rFonts w:ascii="Arial" w:hAnsi="Arial"/>
                <w:sz w:val="18"/>
                <w:szCs w:val="22"/>
              </w:rPr>
            </w:pPr>
            <w:r w:rsidRPr="00747C3C">
              <w:rPr>
                <w:rFonts w:ascii="Arial" w:hAnsi="Arial"/>
                <w:b/>
                <w:i/>
                <w:sz w:val="18"/>
                <w:szCs w:val="22"/>
              </w:rPr>
              <w:t>slotFormatCombinations</w:t>
            </w:r>
          </w:p>
          <w:p w14:paraId="2F980451" w14:textId="77777777" w:rsidR="00747C3C" w:rsidRPr="00747C3C" w:rsidRDefault="00747C3C" w:rsidP="00877B3A">
            <w:pPr>
              <w:keepNext/>
              <w:keepLines/>
              <w:spacing w:after="0"/>
              <w:rPr>
                <w:rFonts w:ascii="Arial" w:hAnsi="Arial"/>
                <w:sz w:val="18"/>
              </w:rPr>
            </w:pPr>
            <w:r w:rsidRPr="00747C3C">
              <w:rPr>
                <w:rFonts w:ascii="Arial" w:hAnsi="Arial"/>
                <w:sz w:val="18"/>
              </w:rPr>
              <w:t xml:space="preserve">A list with </w:t>
            </w:r>
            <w:r w:rsidRPr="00747C3C">
              <w:rPr>
                <w:rFonts w:ascii="Arial" w:hAnsi="Arial"/>
                <w:i/>
                <w:sz w:val="18"/>
              </w:rPr>
              <w:t>SlotFormatCombinations</w:t>
            </w:r>
            <w:r w:rsidRPr="00747C3C">
              <w:rPr>
                <w:rFonts w:ascii="Arial" w:hAnsi="Arial"/>
                <w:sz w:val="18"/>
              </w:rPr>
              <w:t xml:space="preserve">. Each </w:t>
            </w:r>
            <w:r w:rsidRPr="00747C3C">
              <w:rPr>
                <w:rFonts w:ascii="Arial" w:hAnsi="Arial"/>
                <w:i/>
                <w:sz w:val="18"/>
              </w:rPr>
              <w:t>SlotFormatCombination</w:t>
            </w:r>
            <w:r w:rsidRPr="00747C3C">
              <w:rPr>
                <w:rFonts w:ascii="Arial" w:hAnsi="Arial"/>
                <w:sz w:val="18"/>
              </w:rPr>
              <w:t xml:space="preserve"> comprises of one or more </w:t>
            </w:r>
            <w:r w:rsidRPr="00747C3C">
              <w:rPr>
                <w:rFonts w:ascii="Arial" w:hAnsi="Arial"/>
                <w:i/>
                <w:sz w:val="18"/>
              </w:rPr>
              <w:t>SlotFormats</w:t>
            </w:r>
            <w:r w:rsidRPr="00747C3C">
              <w:rPr>
                <w:rFonts w:ascii="Arial" w:hAnsi="Arial"/>
                <w:sz w:val="18"/>
              </w:rPr>
              <w:t xml:space="preserve"> (see TS 38.211 [16], clause 4.3.2). The total number of </w:t>
            </w:r>
            <w:r w:rsidRPr="00747C3C">
              <w:rPr>
                <w:rFonts w:ascii="Arial" w:hAnsi="Arial"/>
                <w:i/>
                <w:sz w:val="18"/>
              </w:rPr>
              <w:t>slotFormats</w:t>
            </w:r>
            <w:r w:rsidRPr="00747C3C">
              <w:rPr>
                <w:rFonts w:ascii="Arial" w:hAnsi="Arial"/>
                <w:sz w:val="18"/>
              </w:rPr>
              <w:t xml:space="preserve"> in the </w:t>
            </w:r>
            <w:r w:rsidRPr="00747C3C">
              <w:rPr>
                <w:rFonts w:ascii="Arial" w:hAnsi="Arial"/>
                <w:i/>
                <w:sz w:val="18"/>
              </w:rPr>
              <w:t>slotFormatCombinations</w:t>
            </w:r>
            <w:r w:rsidRPr="00747C3C">
              <w:rPr>
                <w:rFonts w:ascii="Arial" w:hAnsi="Arial"/>
                <w:sz w:val="18"/>
              </w:rPr>
              <w:t xml:space="preserve"> list does not exceed 512. </w:t>
            </w:r>
          </w:p>
        </w:tc>
      </w:tr>
      <w:tr w:rsidR="00747C3C" w:rsidRPr="00747C3C" w14:paraId="43D7220A" w14:textId="77777777" w:rsidTr="00877B3A">
        <w:tc>
          <w:tcPr>
            <w:tcW w:w="0" w:type="auto"/>
            <w:tcBorders>
              <w:top w:val="single" w:sz="4" w:space="0" w:color="auto"/>
              <w:left w:val="single" w:sz="4" w:space="0" w:color="auto"/>
              <w:bottom w:val="single" w:sz="4" w:space="0" w:color="auto"/>
              <w:right w:val="single" w:sz="4" w:space="0" w:color="auto"/>
            </w:tcBorders>
            <w:hideMark/>
          </w:tcPr>
          <w:p w14:paraId="399B8254" w14:textId="77777777" w:rsidR="00747C3C" w:rsidRPr="00747C3C" w:rsidRDefault="00747C3C" w:rsidP="00877B3A">
            <w:pPr>
              <w:keepNext/>
              <w:keepLines/>
              <w:spacing w:after="0"/>
              <w:rPr>
                <w:rFonts w:ascii="Arial" w:hAnsi="Arial"/>
                <w:sz w:val="18"/>
                <w:szCs w:val="22"/>
              </w:rPr>
            </w:pPr>
            <w:r w:rsidRPr="00747C3C">
              <w:rPr>
                <w:rFonts w:ascii="Arial" w:hAnsi="Arial"/>
                <w:b/>
                <w:i/>
                <w:sz w:val="18"/>
                <w:szCs w:val="22"/>
              </w:rPr>
              <w:t>subcarrierSpacing2</w:t>
            </w:r>
          </w:p>
          <w:p w14:paraId="1DE3B658" w14:textId="77777777" w:rsidR="00747C3C" w:rsidRPr="00747C3C" w:rsidRDefault="00747C3C" w:rsidP="00877B3A">
            <w:pPr>
              <w:keepNext/>
              <w:keepLines/>
              <w:spacing w:after="0"/>
              <w:rPr>
                <w:rFonts w:ascii="Arial" w:hAnsi="Arial"/>
                <w:sz w:val="18"/>
                <w:szCs w:val="22"/>
              </w:rPr>
            </w:pPr>
            <w:r w:rsidRPr="00747C3C">
              <w:rPr>
                <w:rFonts w:ascii="Arial" w:hAnsi="Arial"/>
                <w:sz w:val="18"/>
                <w:szCs w:val="22"/>
              </w:rPr>
              <w:t>Reference subcarrier spacing for a Slot Format Combination on an FDD or SUL cell (see TS 38.213 [13], clause 11.1.1).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747C3C" w:rsidRPr="00747C3C" w14:paraId="46239B08" w14:textId="77777777" w:rsidTr="00877B3A">
        <w:tc>
          <w:tcPr>
            <w:tcW w:w="0" w:type="auto"/>
            <w:tcBorders>
              <w:top w:val="single" w:sz="4" w:space="0" w:color="auto"/>
              <w:left w:val="single" w:sz="4" w:space="0" w:color="auto"/>
              <w:bottom w:val="single" w:sz="4" w:space="0" w:color="auto"/>
              <w:right w:val="single" w:sz="4" w:space="0" w:color="auto"/>
            </w:tcBorders>
            <w:hideMark/>
          </w:tcPr>
          <w:p w14:paraId="2F41ABD5" w14:textId="77777777" w:rsidR="00747C3C" w:rsidRPr="00747C3C" w:rsidRDefault="00747C3C" w:rsidP="00877B3A">
            <w:pPr>
              <w:keepNext/>
              <w:keepLines/>
              <w:spacing w:after="0"/>
              <w:rPr>
                <w:rFonts w:ascii="Arial" w:hAnsi="Arial"/>
                <w:sz w:val="18"/>
                <w:szCs w:val="22"/>
              </w:rPr>
            </w:pPr>
            <w:r w:rsidRPr="00747C3C">
              <w:rPr>
                <w:rFonts w:ascii="Arial" w:hAnsi="Arial"/>
                <w:b/>
                <w:i/>
                <w:sz w:val="18"/>
                <w:szCs w:val="22"/>
              </w:rPr>
              <w:t>subcarrierSpacing</w:t>
            </w:r>
          </w:p>
          <w:p w14:paraId="0569C7D3" w14:textId="77777777" w:rsidR="00747C3C" w:rsidRPr="00747C3C" w:rsidRDefault="00747C3C" w:rsidP="00877B3A">
            <w:pPr>
              <w:keepNext/>
              <w:keepLines/>
              <w:spacing w:after="0"/>
              <w:rPr>
                <w:rFonts w:ascii="Arial" w:hAnsi="Arial"/>
                <w:sz w:val="18"/>
                <w:szCs w:val="22"/>
              </w:rPr>
            </w:pPr>
            <w:r w:rsidRPr="00747C3C">
              <w:rPr>
                <w:rFonts w:ascii="Arial" w:hAnsi="Arial"/>
                <w:sz w:val="18"/>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7CCF3FE3" w14:textId="77777777" w:rsidR="00747C3C" w:rsidRPr="00747C3C" w:rsidRDefault="00747C3C" w:rsidP="00747C3C"/>
    <w:p w14:paraId="0411A510" w14:textId="0B749EE3" w:rsidR="00747C3C" w:rsidRPr="00B540A2" w:rsidRDefault="000150E6" w:rsidP="0034456F">
      <w:pPr>
        <w:rPr>
          <w:lang w:val="en-US"/>
        </w:rPr>
      </w:pPr>
      <w:r w:rsidRPr="00B540A2">
        <w:rPr>
          <w:lang w:val="en-US"/>
        </w:rPr>
        <w:t>slot format index (SFI) table in</w:t>
      </w:r>
      <w:r w:rsidR="00B540A2">
        <w:rPr>
          <w:lang w:val="en-US"/>
        </w:rPr>
        <w:t xml:space="preserve"> </w:t>
      </w:r>
      <w:r w:rsidR="00B540A2">
        <w:rPr>
          <w:lang w:val="en-US"/>
        </w:rPr>
        <w:fldChar w:fldCharType="begin"/>
      </w:r>
      <w:r w:rsidR="00B540A2">
        <w:rPr>
          <w:lang w:val="en-US"/>
        </w:rPr>
        <w:instrText xml:space="preserve"> REF _Ref534892220 \w \h </w:instrText>
      </w:r>
      <w:r w:rsidR="00B540A2">
        <w:rPr>
          <w:lang w:val="en-US"/>
        </w:rPr>
      </w:r>
      <w:r w:rsidR="00B540A2">
        <w:rPr>
          <w:lang w:val="en-US"/>
        </w:rPr>
        <w:fldChar w:fldCharType="separate"/>
      </w:r>
      <w:r w:rsidR="00431AC5">
        <w:rPr>
          <w:lang w:val="en-US"/>
        </w:rPr>
        <w:t>[4]</w:t>
      </w:r>
      <w:r w:rsidR="00B540A2">
        <w:rPr>
          <w:lang w:val="en-US"/>
        </w:rPr>
        <w:fldChar w:fldCharType="end"/>
      </w:r>
      <w:r w:rsidR="00B540A2">
        <w:rPr>
          <w:lang w:val="en-US"/>
        </w:rPr>
        <w:t>:</w:t>
      </w:r>
    </w:p>
    <w:p w14:paraId="1E557F57" w14:textId="77777777" w:rsidR="009A7E4E" w:rsidRPr="00CA657A" w:rsidRDefault="009A7E4E" w:rsidP="009A7E4E">
      <w:pPr>
        <w:pStyle w:val="TH"/>
      </w:pPr>
      <w:bookmarkStart w:id="86" w:name="_Hlk512253773"/>
      <w:r w:rsidRPr="00CA657A">
        <w:t>Table 11.1.1-</w:t>
      </w:r>
      <w:bookmarkEnd w:id="86"/>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9A7E4E" w:rsidRPr="00CA657A" w14:paraId="5258D6C6" w14:textId="77777777" w:rsidTr="00877B3A">
        <w:trPr>
          <w:jc w:val="center"/>
        </w:trPr>
        <w:tc>
          <w:tcPr>
            <w:tcW w:w="1101" w:type="dxa"/>
            <w:vMerge w:val="restart"/>
            <w:shd w:val="clear" w:color="auto" w:fill="auto"/>
          </w:tcPr>
          <w:p w14:paraId="5102E806"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778C0997"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9A7E4E" w:rsidRPr="00CA657A" w14:paraId="3F1423B5" w14:textId="77777777" w:rsidTr="00877B3A">
        <w:trPr>
          <w:jc w:val="center"/>
        </w:trPr>
        <w:tc>
          <w:tcPr>
            <w:tcW w:w="1101" w:type="dxa"/>
            <w:vMerge/>
            <w:tcBorders>
              <w:top w:val="single" w:sz="4" w:space="0" w:color="auto"/>
            </w:tcBorders>
            <w:shd w:val="clear" w:color="auto" w:fill="auto"/>
          </w:tcPr>
          <w:p w14:paraId="35343994" w14:textId="77777777" w:rsidR="009A7E4E" w:rsidRPr="00CA657A" w:rsidRDefault="009A7E4E" w:rsidP="00877B3A">
            <w:pPr>
              <w:keepNext/>
              <w:keepLines/>
              <w:spacing w:after="0"/>
              <w:jc w:val="center"/>
              <w:rPr>
                <w:rFonts w:ascii="Arial" w:eastAsia="Batang" w:hAnsi="Arial"/>
                <w:b/>
                <w:sz w:val="18"/>
              </w:rPr>
            </w:pPr>
          </w:p>
        </w:tc>
        <w:tc>
          <w:tcPr>
            <w:tcW w:w="713" w:type="dxa"/>
            <w:tcBorders>
              <w:top w:val="nil"/>
            </w:tcBorders>
            <w:shd w:val="clear" w:color="auto" w:fill="auto"/>
          </w:tcPr>
          <w:p w14:paraId="2F91BFD4"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0578F26C"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0BF8DAE0"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64F17B58"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1F15D31C"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2350A17B"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674FAA06"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763A86D0"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3E52C336"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0817CCF5"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141E7A6B"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704B232D"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0D915A0E"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1C38835C" w14:textId="77777777" w:rsidR="009A7E4E" w:rsidRPr="00CA657A" w:rsidRDefault="009A7E4E" w:rsidP="00877B3A">
            <w:pPr>
              <w:keepNext/>
              <w:keepLines/>
              <w:spacing w:after="0"/>
              <w:jc w:val="center"/>
              <w:rPr>
                <w:rFonts w:ascii="Arial" w:eastAsia="Batang" w:hAnsi="Arial"/>
                <w:b/>
                <w:sz w:val="18"/>
              </w:rPr>
            </w:pPr>
            <w:r w:rsidRPr="00CA657A">
              <w:rPr>
                <w:rFonts w:ascii="Arial" w:eastAsia="Batang" w:hAnsi="Arial"/>
                <w:b/>
                <w:sz w:val="18"/>
              </w:rPr>
              <w:t>13</w:t>
            </w:r>
          </w:p>
        </w:tc>
      </w:tr>
      <w:tr w:rsidR="009A7E4E" w:rsidRPr="00CA657A" w14:paraId="66CCB147" w14:textId="77777777" w:rsidTr="00877B3A">
        <w:trPr>
          <w:jc w:val="center"/>
        </w:trPr>
        <w:tc>
          <w:tcPr>
            <w:tcW w:w="1101" w:type="dxa"/>
            <w:shd w:val="clear" w:color="auto" w:fill="auto"/>
          </w:tcPr>
          <w:p w14:paraId="02AAB4F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69EC416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79569E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A0BB15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9EE67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3FD36B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297E4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DF05D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F0205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1465A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8D2B5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C4506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4CF77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BED36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2C1906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r>
      <w:tr w:rsidR="009A7E4E" w:rsidRPr="00CA657A" w14:paraId="58FA253D" w14:textId="77777777" w:rsidTr="00877B3A">
        <w:trPr>
          <w:jc w:val="center"/>
        </w:trPr>
        <w:tc>
          <w:tcPr>
            <w:tcW w:w="1101" w:type="dxa"/>
            <w:shd w:val="clear" w:color="auto" w:fill="auto"/>
          </w:tcPr>
          <w:p w14:paraId="55B9DB0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5614FE3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7E68D61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16EB5D2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6228D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C5A15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CC3DC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6B092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4A314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510EB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6AD61F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94D7B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235E4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E5378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490903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02C0DC44" w14:textId="77777777" w:rsidTr="00877B3A">
        <w:trPr>
          <w:jc w:val="center"/>
        </w:trPr>
        <w:tc>
          <w:tcPr>
            <w:tcW w:w="1101" w:type="dxa"/>
            <w:shd w:val="clear" w:color="auto" w:fill="auto"/>
          </w:tcPr>
          <w:p w14:paraId="0F736E0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5A50C65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7D6534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44653F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0FFDE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8C523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3B1D3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D806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93E80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A25A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C30C8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C3512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D506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D1AC2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6F56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r>
      <w:tr w:rsidR="009A7E4E" w:rsidRPr="00CA657A" w14:paraId="3F5B1C7A" w14:textId="77777777" w:rsidTr="00877B3A">
        <w:trPr>
          <w:jc w:val="center"/>
        </w:trPr>
        <w:tc>
          <w:tcPr>
            <w:tcW w:w="1101" w:type="dxa"/>
            <w:shd w:val="clear" w:color="auto" w:fill="auto"/>
          </w:tcPr>
          <w:p w14:paraId="3BCED58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08E15D3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C16C3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61F33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BB7DE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D9343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B44DF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20A50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66AC9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F7200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946ED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D97F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B680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8275B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EB990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r>
      <w:tr w:rsidR="009A7E4E" w:rsidRPr="00CA657A" w14:paraId="6B0F9BB6" w14:textId="77777777" w:rsidTr="00877B3A">
        <w:trPr>
          <w:jc w:val="center"/>
        </w:trPr>
        <w:tc>
          <w:tcPr>
            <w:tcW w:w="1101" w:type="dxa"/>
            <w:shd w:val="clear" w:color="auto" w:fill="auto"/>
          </w:tcPr>
          <w:p w14:paraId="25605A3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7C7217B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05C87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E83B3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33CF5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A554A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AE738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92AD2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088F7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74EF8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16987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DE4C9F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24679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8A7C0E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6A174E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r>
      <w:tr w:rsidR="009A7E4E" w:rsidRPr="00CA657A" w14:paraId="59306BA0" w14:textId="77777777" w:rsidTr="00877B3A">
        <w:trPr>
          <w:jc w:val="center"/>
        </w:trPr>
        <w:tc>
          <w:tcPr>
            <w:tcW w:w="1101" w:type="dxa"/>
            <w:shd w:val="clear" w:color="auto" w:fill="auto"/>
          </w:tcPr>
          <w:p w14:paraId="50D5795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289E0CD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25FCAC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FF32E5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46086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BD9C8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2BC98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DF271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EAAE0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22861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7E70B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CB66F2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D2E2C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524AA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06AD3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r>
      <w:tr w:rsidR="009A7E4E" w:rsidRPr="00CA657A" w14:paraId="181AC413" w14:textId="77777777" w:rsidTr="00877B3A">
        <w:trPr>
          <w:jc w:val="center"/>
        </w:trPr>
        <w:tc>
          <w:tcPr>
            <w:tcW w:w="1101" w:type="dxa"/>
            <w:shd w:val="clear" w:color="auto" w:fill="auto"/>
          </w:tcPr>
          <w:p w14:paraId="319DC5F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0CC19E8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AEC7C0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5F45E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0A7B3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2629A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18AD6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C0478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5692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FC5D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F5F70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21E7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28403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33FDD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DA04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r>
      <w:tr w:rsidR="009A7E4E" w:rsidRPr="00CA657A" w14:paraId="2B09250D" w14:textId="77777777" w:rsidTr="00877B3A">
        <w:trPr>
          <w:jc w:val="center"/>
        </w:trPr>
        <w:tc>
          <w:tcPr>
            <w:tcW w:w="1101" w:type="dxa"/>
            <w:shd w:val="clear" w:color="auto" w:fill="auto"/>
          </w:tcPr>
          <w:p w14:paraId="55E0BF2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2A131CF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4B97C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10AC24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CAEEF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83F1C4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2DAAC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FC51C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DA2AD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A9608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800C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72391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060C8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1BDF6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56410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r>
      <w:tr w:rsidR="009A7E4E" w:rsidRPr="00CA657A" w14:paraId="0F9E1C4B" w14:textId="77777777" w:rsidTr="00877B3A">
        <w:trPr>
          <w:jc w:val="center"/>
        </w:trPr>
        <w:tc>
          <w:tcPr>
            <w:tcW w:w="1101" w:type="dxa"/>
            <w:shd w:val="clear" w:color="auto" w:fill="auto"/>
          </w:tcPr>
          <w:p w14:paraId="18DF1B1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421F4A7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578ED3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B31D22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7838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5D7A5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2BC44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14F19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8510F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E9794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DF4C3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7C0AF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2BD5A8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47D59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A2A8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34CCCF03" w14:textId="77777777" w:rsidTr="00877B3A">
        <w:trPr>
          <w:jc w:val="center"/>
        </w:trPr>
        <w:tc>
          <w:tcPr>
            <w:tcW w:w="1101" w:type="dxa"/>
            <w:shd w:val="clear" w:color="auto" w:fill="auto"/>
          </w:tcPr>
          <w:p w14:paraId="3FB012E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60D227D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94E7F7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37C48A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BFB7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AEB0B6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213BF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672D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712CA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C9D3A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C8E21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95757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C79D5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ECB16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5FAF1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4711D6BD" w14:textId="77777777" w:rsidTr="00877B3A">
        <w:trPr>
          <w:jc w:val="center"/>
        </w:trPr>
        <w:tc>
          <w:tcPr>
            <w:tcW w:w="1101" w:type="dxa"/>
            <w:shd w:val="clear" w:color="auto" w:fill="auto"/>
          </w:tcPr>
          <w:p w14:paraId="302E6EC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005C5CC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25EFBC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40EDECD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A2E8F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D019C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7AD80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DFCA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934FE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DA06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AF1B2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B2A16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E6F52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56A2C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B01B3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1B3661C4" w14:textId="77777777" w:rsidTr="00877B3A">
        <w:trPr>
          <w:jc w:val="center"/>
        </w:trPr>
        <w:tc>
          <w:tcPr>
            <w:tcW w:w="1101" w:type="dxa"/>
            <w:shd w:val="clear" w:color="auto" w:fill="auto"/>
          </w:tcPr>
          <w:p w14:paraId="1267F9D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39E947A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56EF6F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D0509A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50B7D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A9A15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9ECE6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961632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25437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9A92A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F83F9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AC95E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FF265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6EC1A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07182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4B926D9C" w14:textId="77777777" w:rsidTr="00877B3A">
        <w:trPr>
          <w:jc w:val="center"/>
        </w:trPr>
        <w:tc>
          <w:tcPr>
            <w:tcW w:w="1101" w:type="dxa"/>
            <w:shd w:val="clear" w:color="auto" w:fill="auto"/>
          </w:tcPr>
          <w:p w14:paraId="10516EA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1F0DC27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DEA675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48B1DB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00D13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7515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A799E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C8B22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642B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1AAFE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DA7AE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A97E8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67EAF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AEE5F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B930D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066E991A" w14:textId="77777777" w:rsidTr="00877B3A">
        <w:trPr>
          <w:jc w:val="center"/>
        </w:trPr>
        <w:tc>
          <w:tcPr>
            <w:tcW w:w="1101" w:type="dxa"/>
            <w:shd w:val="clear" w:color="auto" w:fill="auto"/>
          </w:tcPr>
          <w:p w14:paraId="4B83CF8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1ABDC11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CA6698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72B1A6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A11B2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9BFF1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96C1E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F99372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E669A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70F1D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A460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5C751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0506A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DD85A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5CD54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5ABCF997" w14:textId="77777777" w:rsidTr="00877B3A">
        <w:trPr>
          <w:jc w:val="center"/>
        </w:trPr>
        <w:tc>
          <w:tcPr>
            <w:tcW w:w="1101" w:type="dxa"/>
            <w:shd w:val="clear" w:color="auto" w:fill="auto"/>
          </w:tcPr>
          <w:p w14:paraId="5BF4368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42DD198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729689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A9E888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E87FC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7BD6B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E9960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2E73E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22009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7DBB9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F92205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3EF81F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5900C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7E857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3D202A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5D02ABA4" w14:textId="77777777" w:rsidTr="00877B3A">
        <w:trPr>
          <w:jc w:val="center"/>
        </w:trPr>
        <w:tc>
          <w:tcPr>
            <w:tcW w:w="1101" w:type="dxa"/>
            <w:shd w:val="clear" w:color="auto" w:fill="auto"/>
          </w:tcPr>
          <w:p w14:paraId="1EBFFAC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4604BE3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F01617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304581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B41FA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2E42F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CB277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B6BDA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958D7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6044F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205C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E3910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3FCA8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49892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1FEE3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134D6FBF" w14:textId="77777777" w:rsidTr="00877B3A">
        <w:trPr>
          <w:jc w:val="center"/>
        </w:trPr>
        <w:tc>
          <w:tcPr>
            <w:tcW w:w="1101" w:type="dxa"/>
            <w:shd w:val="clear" w:color="auto" w:fill="auto"/>
          </w:tcPr>
          <w:p w14:paraId="4A7F8F7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1AB0913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2C0C16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7C86A0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977D3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AA563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BAED5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F2F657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5457A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B472C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A3D11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9A7F2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0C125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2288F7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14856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r>
      <w:tr w:rsidR="009A7E4E" w:rsidRPr="00CA657A" w14:paraId="4193324D" w14:textId="77777777" w:rsidTr="00877B3A">
        <w:trPr>
          <w:jc w:val="center"/>
        </w:trPr>
        <w:tc>
          <w:tcPr>
            <w:tcW w:w="1101" w:type="dxa"/>
            <w:shd w:val="clear" w:color="auto" w:fill="auto"/>
          </w:tcPr>
          <w:p w14:paraId="1CC4AAE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3FDC784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7FFA71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5B91E8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400D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31517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FD4E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112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67514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A5BC2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30EAB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A8EBD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D230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E6722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B71AF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r>
      <w:tr w:rsidR="009A7E4E" w:rsidRPr="00CA657A" w14:paraId="19BC97E3" w14:textId="77777777" w:rsidTr="00877B3A">
        <w:trPr>
          <w:jc w:val="center"/>
        </w:trPr>
        <w:tc>
          <w:tcPr>
            <w:tcW w:w="1101" w:type="dxa"/>
            <w:shd w:val="clear" w:color="auto" w:fill="auto"/>
          </w:tcPr>
          <w:p w14:paraId="46FD9E5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0AB179A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594DF0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3CBD7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3DB20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4C0E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C8C3C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0B276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F41F5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62528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05A2E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47037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5C787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5783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60D44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r>
      <w:tr w:rsidR="009A7E4E" w:rsidRPr="00CA657A" w14:paraId="67D4754C" w14:textId="77777777" w:rsidTr="00877B3A">
        <w:trPr>
          <w:jc w:val="center"/>
        </w:trPr>
        <w:tc>
          <w:tcPr>
            <w:tcW w:w="1101" w:type="dxa"/>
            <w:shd w:val="clear" w:color="auto" w:fill="auto"/>
          </w:tcPr>
          <w:p w14:paraId="731BAF1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0819C89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31602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141EE4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5F62F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64DF5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D91A9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DE1B1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18A4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E2D8F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A9D89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E6EB6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E294E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6653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16A56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38090B1A" w14:textId="77777777" w:rsidTr="00877B3A">
        <w:trPr>
          <w:jc w:val="center"/>
        </w:trPr>
        <w:tc>
          <w:tcPr>
            <w:tcW w:w="1101" w:type="dxa"/>
            <w:shd w:val="clear" w:color="auto" w:fill="auto"/>
          </w:tcPr>
          <w:p w14:paraId="5CA4E1B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3C74F68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E22CEA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85F5B5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404E7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0EB24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DA041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DCC0E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E114C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67B8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1E634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D293B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7900C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1EFE4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E922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11D664E1" w14:textId="77777777" w:rsidTr="00877B3A">
        <w:trPr>
          <w:jc w:val="center"/>
        </w:trPr>
        <w:tc>
          <w:tcPr>
            <w:tcW w:w="1101" w:type="dxa"/>
            <w:shd w:val="clear" w:color="auto" w:fill="auto"/>
          </w:tcPr>
          <w:p w14:paraId="4DFBBBB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4D5E0C9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15C8E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C9542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AD6CB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031D7C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2F682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A590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3F5833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B7852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7C47D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DDDE8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AF84F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8CC4F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DB57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1581804B" w14:textId="77777777" w:rsidTr="00877B3A">
        <w:trPr>
          <w:jc w:val="center"/>
        </w:trPr>
        <w:tc>
          <w:tcPr>
            <w:tcW w:w="1101" w:type="dxa"/>
            <w:shd w:val="clear" w:color="auto" w:fill="auto"/>
          </w:tcPr>
          <w:p w14:paraId="68E8C16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44FCEE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4C148E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16058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DFF14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38F33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D7291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506CB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762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CF845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14029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B3918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E1BC0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F670C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50F98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7FCE80E6" w14:textId="77777777" w:rsidTr="00877B3A">
        <w:trPr>
          <w:jc w:val="center"/>
        </w:trPr>
        <w:tc>
          <w:tcPr>
            <w:tcW w:w="1101" w:type="dxa"/>
            <w:shd w:val="clear" w:color="auto" w:fill="auto"/>
          </w:tcPr>
          <w:p w14:paraId="2423855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01BEB75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C8B631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641EF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05363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FD27D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EDE00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B881F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5E287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4300E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863CB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D4052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D5BC4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A58C6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06ED6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23164A88" w14:textId="77777777" w:rsidTr="00877B3A">
        <w:trPr>
          <w:jc w:val="center"/>
        </w:trPr>
        <w:tc>
          <w:tcPr>
            <w:tcW w:w="1101" w:type="dxa"/>
            <w:shd w:val="clear" w:color="auto" w:fill="auto"/>
          </w:tcPr>
          <w:p w14:paraId="3033FAC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55279A0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B4DB9B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FD9946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1E991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E4F71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BE88D2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7C739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6BB1A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68A9A2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47844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AAA30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3C707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AB2B4C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CD4D2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63B5F4FB" w14:textId="77777777" w:rsidTr="00877B3A">
        <w:trPr>
          <w:jc w:val="center"/>
        </w:trPr>
        <w:tc>
          <w:tcPr>
            <w:tcW w:w="1101" w:type="dxa"/>
            <w:shd w:val="clear" w:color="auto" w:fill="auto"/>
          </w:tcPr>
          <w:p w14:paraId="29360A1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192CECA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B80225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DB1D1E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F29A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7E644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D9EBD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A184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184C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108AB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A7154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E738F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81AAE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86693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7E274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2A844F20" w14:textId="77777777" w:rsidTr="00877B3A">
        <w:trPr>
          <w:jc w:val="center"/>
        </w:trPr>
        <w:tc>
          <w:tcPr>
            <w:tcW w:w="1101" w:type="dxa"/>
            <w:shd w:val="clear" w:color="auto" w:fill="auto"/>
          </w:tcPr>
          <w:p w14:paraId="56843CB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2A1B0CA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AC1556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5F56DF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885CA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6FD7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46515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AB364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4EC43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CA848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4B870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893DF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1BF05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E04D4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01EA3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50B29F4B" w14:textId="77777777" w:rsidTr="00877B3A">
        <w:trPr>
          <w:jc w:val="center"/>
        </w:trPr>
        <w:tc>
          <w:tcPr>
            <w:tcW w:w="1101" w:type="dxa"/>
            <w:shd w:val="clear" w:color="auto" w:fill="auto"/>
          </w:tcPr>
          <w:p w14:paraId="30DC492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0DF0394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27B9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DD048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04C99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B5EE4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823C5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525BD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9AB08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723DC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B99B6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8B34E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79592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5D57A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F9580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5242C5D1" w14:textId="77777777" w:rsidTr="00877B3A">
        <w:trPr>
          <w:jc w:val="center"/>
        </w:trPr>
        <w:tc>
          <w:tcPr>
            <w:tcW w:w="1101" w:type="dxa"/>
            <w:shd w:val="clear" w:color="auto" w:fill="auto"/>
          </w:tcPr>
          <w:p w14:paraId="6F95D42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61F939E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12E58D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13CDE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CE286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F0ADF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4EBF9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F17C13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5B526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7474D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B3EE1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2C2D8B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00492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026BB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EB986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72B8D4B3" w14:textId="77777777" w:rsidTr="00877B3A">
        <w:trPr>
          <w:jc w:val="center"/>
        </w:trPr>
        <w:tc>
          <w:tcPr>
            <w:tcW w:w="1101" w:type="dxa"/>
            <w:shd w:val="clear" w:color="auto" w:fill="auto"/>
          </w:tcPr>
          <w:p w14:paraId="66ABBC7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6569FD6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2ACF3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5BCA9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78E93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989AD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78B6C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0871D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05245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51185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20AF6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F5F9E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81EE7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A5036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80292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6F83CC12" w14:textId="77777777" w:rsidTr="00877B3A">
        <w:trPr>
          <w:jc w:val="center"/>
        </w:trPr>
        <w:tc>
          <w:tcPr>
            <w:tcW w:w="1101" w:type="dxa"/>
            <w:shd w:val="clear" w:color="auto" w:fill="auto"/>
          </w:tcPr>
          <w:p w14:paraId="37C4D52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153147C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9C642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BA2BF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3584B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32109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43B9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15EE0B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DF32D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AED0C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8B4F3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BFEE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1E285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ECF0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8FA3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2DB900E7" w14:textId="77777777" w:rsidTr="00877B3A">
        <w:trPr>
          <w:jc w:val="center"/>
        </w:trPr>
        <w:tc>
          <w:tcPr>
            <w:tcW w:w="1101" w:type="dxa"/>
            <w:shd w:val="clear" w:color="auto" w:fill="auto"/>
          </w:tcPr>
          <w:p w14:paraId="2E38C24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5282F63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52D5C1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321D8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A432C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73C57C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1422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85343C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5C2E4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8B68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2F5D9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26501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DA1FF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0A5D9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54F8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27A52FDB" w14:textId="77777777" w:rsidTr="00877B3A">
        <w:trPr>
          <w:jc w:val="center"/>
        </w:trPr>
        <w:tc>
          <w:tcPr>
            <w:tcW w:w="1101" w:type="dxa"/>
            <w:shd w:val="clear" w:color="auto" w:fill="auto"/>
          </w:tcPr>
          <w:p w14:paraId="2D64785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026A1E1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C121D5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FBA40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CFF40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D1DB2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D157D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2473F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813A1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9E9E7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32C6D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04525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D6F0A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DA05F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2488E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56C8AE32" w14:textId="77777777" w:rsidTr="00877B3A">
        <w:trPr>
          <w:jc w:val="center"/>
        </w:trPr>
        <w:tc>
          <w:tcPr>
            <w:tcW w:w="1101" w:type="dxa"/>
            <w:shd w:val="clear" w:color="auto" w:fill="auto"/>
          </w:tcPr>
          <w:p w14:paraId="0729BCE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6740A35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C6132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D95F8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32F69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2AE74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F87D1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E4C34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C259E9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42E30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0D206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199A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8FEA3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191E5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ACD73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73628F46" w14:textId="77777777" w:rsidTr="00877B3A">
        <w:trPr>
          <w:jc w:val="center"/>
        </w:trPr>
        <w:tc>
          <w:tcPr>
            <w:tcW w:w="1101" w:type="dxa"/>
            <w:shd w:val="clear" w:color="auto" w:fill="auto"/>
          </w:tcPr>
          <w:p w14:paraId="6BCF98D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16285B4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42C2E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D3B16E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EA0AE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15D9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5F641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90573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06FD3E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20C10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99CBE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31780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D757A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4B503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751ACE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44AFF7B4" w14:textId="77777777" w:rsidTr="00877B3A">
        <w:trPr>
          <w:jc w:val="center"/>
        </w:trPr>
        <w:tc>
          <w:tcPr>
            <w:tcW w:w="1101" w:type="dxa"/>
            <w:shd w:val="clear" w:color="auto" w:fill="auto"/>
          </w:tcPr>
          <w:p w14:paraId="271F789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D617AE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FB44E5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2E9E2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75EE4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42BE6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907B5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D8C2B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B21DC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2E13F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C0EA6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ED856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23904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358F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85A20F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56B2A3EB" w14:textId="77777777" w:rsidTr="00877B3A">
        <w:trPr>
          <w:jc w:val="center"/>
        </w:trPr>
        <w:tc>
          <w:tcPr>
            <w:tcW w:w="1101" w:type="dxa"/>
            <w:shd w:val="clear" w:color="auto" w:fill="auto"/>
          </w:tcPr>
          <w:p w14:paraId="2DBE88E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197284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F169F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7ADC5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647A2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AFA36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1D0F4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09EC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379BF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675FF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D995F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5C21F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FE1C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D4D84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7AA90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33FCA3FE" w14:textId="77777777" w:rsidTr="00877B3A">
        <w:trPr>
          <w:jc w:val="center"/>
        </w:trPr>
        <w:tc>
          <w:tcPr>
            <w:tcW w:w="1101" w:type="dxa"/>
            <w:shd w:val="clear" w:color="auto" w:fill="auto"/>
          </w:tcPr>
          <w:p w14:paraId="1E47415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2EA19D3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9180F5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B1101F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696D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556BA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10C72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B608C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7C793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64202A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6D715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16C2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BDBB7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CE057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4B7D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6C831B10" w14:textId="77777777" w:rsidTr="00877B3A">
        <w:trPr>
          <w:jc w:val="center"/>
        </w:trPr>
        <w:tc>
          <w:tcPr>
            <w:tcW w:w="1101" w:type="dxa"/>
            <w:shd w:val="clear" w:color="auto" w:fill="auto"/>
          </w:tcPr>
          <w:p w14:paraId="7E2C23A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7E60E2C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EA05E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F2302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D7CC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19358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528A98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FCA68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E8DD7B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98A02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44E5D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33262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4A877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3BEB6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C1811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7D616F8A" w14:textId="77777777" w:rsidTr="00877B3A">
        <w:trPr>
          <w:jc w:val="center"/>
        </w:trPr>
        <w:tc>
          <w:tcPr>
            <w:tcW w:w="1101" w:type="dxa"/>
            <w:shd w:val="clear" w:color="auto" w:fill="auto"/>
          </w:tcPr>
          <w:p w14:paraId="7CB2137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56A0E62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5A9B1F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A1C539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C007E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FBCAF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A51EA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95886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9E461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F47B9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35F40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E03FE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0189E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214CAF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BB7AC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31C93D72" w14:textId="77777777" w:rsidTr="00877B3A">
        <w:trPr>
          <w:jc w:val="center"/>
        </w:trPr>
        <w:tc>
          <w:tcPr>
            <w:tcW w:w="1101" w:type="dxa"/>
            <w:shd w:val="clear" w:color="auto" w:fill="auto"/>
          </w:tcPr>
          <w:p w14:paraId="1E01062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285509B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62704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879E92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F227B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EAEB0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246567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6ECEB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FC4B7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90FE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51385F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07B41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4C24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D00A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3F7DC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23151F47" w14:textId="77777777" w:rsidTr="00877B3A">
        <w:trPr>
          <w:jc w:val="center"/>
        </w:trPr>
        <w:tc>
          <w:tcPr>
            <w:tcW w:w="1101" w:type="dxa"/>
            <w:shd w:val="clear" w:color="auto" w:fill="auto"/>
          </w:tcPr>
          <w:p w14:paraId="1047057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0FA8C7C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03C25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043D9F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0E192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E78BA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E5DE3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8A953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8AF90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81700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B332C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B0CB2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E413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EC83DE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FBDB3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3190C961" w14:textId="77777777" w:rsidTr="00877B3A">
        <w:trPr>
          <w:jc w:val="center"/>
        </w:trPr>
        <w:tc>
          <w:tcPr>
            <w:tcW w:w="1101" w:type="dxa"/>
            <w:shd w:val="clear" w:color="auto" w:fill="auto"/>
          </w:tcPr>
          <w:p w14:paraId="7C5DA1E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2F194D8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C0CEE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CE1BA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06D3D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F8DB1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F98C8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90A6B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581FC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C9088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5A574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D3060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A9BF09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69E95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929543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21AF0E9F" w14:textId="77777777" w:rsidTr="00877B3A">
        <w:trPr>
          <w:jc w:val="center"/>
        </w:trPr>
        <w:tc>
          <w:tcPr>
            <w:tcW w:w="1101" w:type="dxa"/>
            <w:shd w:val="clear" w:color="auto" w:fill="auto"/>
          </w:tcPr>
          <w:p w14:paraId="1A8A4A5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46526C4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310D1F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754837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45558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EF3DA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1D74E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19B89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CABB4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EEDB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71EF9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01BF4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14335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02E9C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CE2D5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135C02E6" w14:textId="77777777" w:rsidTr="00877B3A">
        <w:trPr>
          <w:jc w:val="center"/>
        </w:trPr>
        <w:tc>
          <w:tcPr>
            <w:tcW w:w="1101" w:type="dxa"/>
            <w:shd w:val="clear" w:color="auto" w:fill="auto"/>
          </w:tcPr>
          <w:p w14:paraId="53D0A85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06D66BB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AEE429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17D53C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04BB1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8B00A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FA40A1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22DF0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2F9D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C889D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5C24C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FB473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E73AC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5E60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16E50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7B4DA6BE" w14:textId="77777777" w:rsidTr="00877B3A">
        <w:trPr>
          <w:jc w:val="center"/>
        </w:trPr>
        <w:tc>
          <w:tcPr>
            <w:tcW w:w="1101" w:type="dxa"/>
            <w:shd w:val="clear" w:color="auto" w:fill="auto"/>
          </w:tcPr>
          <w:p w14:paraId="4BE7F97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1D5AF24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0D344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9C7C1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C522DF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BA36D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D7D03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B5AD71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F99D4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12F75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A8BDC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785FD1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4C691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67DD7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A6DBD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6672D041" w14:textId="77777777" w:rsidTr="00877B3A">
        <w:trPr>
          <w:jc w:val="center"/>
        </w:trPr>
        <w:tc>
          <w:tcPr>
            <w:tcW w:w="1101" w:type="dxa"/>
            <w:shd w:val="clear" w:color="auto" w:fill="auto"/>
          </w:tcPr>
          <w:p w14:paraId="6D02B1C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1B6BB2C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DB75EA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EB61F8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BE3699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57660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9F20B0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59D3E3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68B2C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7A02ED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731320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8835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B484A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524D9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77FE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63A70745" w14:textId="77777777" w:rsidTr="00877B3A">
        <w:trPr>
          <w:jc w:val="center"/>
        </w:trPr>
        <w:tc>
          <w:tcPr>
            <w:tcW w:w="1101" w:type="dxa"/>
            <w:shd w:val="clear" w:color="auto" w:fill="auto"/>
          </w:tcPr>
          <w:p w14:paraId="5DAC39C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33329F2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80F822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01628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2E4DC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6BB37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BD1086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D3CB41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D560E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408A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CFD2DC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D3460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33314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F6080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9E8D7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0B144457" w14:textId="77777777" w:rsidTr="00877B3A">
        <w:trPr>
          <w:jc w:val="center"/>
        </w:trPr>
        <w:tc>
          <w:tcPr>
            <w:tcW w:w="1101" w:type="dxa"/>
            <w:shd w:val="clear" w:color="auto" w:fill="auto"/>
          </w:tcPr>
          <w:p w14:paraId="19CEBC8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2B2283E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2BAD2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49EA8C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BCCA0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A0620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DDE32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5F96E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2CBF9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DBEB9A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E5258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DE123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6DEE8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65428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B634C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2BD6C8F8" w14:textId="77777777" w:rsidTr="00877B3A">
        <w:trPr>
          <w:jc w:val="center"/>
        </w:trPr>
        <w:tc>
          <w:tcPr>
            <w:tcW w:w="1101" w:type="dxa"/>
            <w:shd w:val="clear" w:color="auto" w:fill="auto"/>
          </w:tcPr>
          <w:p w14:paraId="238E62F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28789C9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61D13E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91F2E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FEA7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972EF0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490641"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1F19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DD8A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DA8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949D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025ED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FC947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D7EAC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56967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6967793A" w14:textId="77777777" w:rsidTr="00877B3A">
        <w:trPr>
          <w:jc w:val="center"/>
        </w:trPr>
        <w:tc>
          <w:tcPr>
            <w:tcW w:w="1101" w:type="dxa"/>
            <w:shd w:val="clear" w:color="auto" w:fill="auto"/>
          </w:tcPr>
          <w:p w14:paraId="69E889F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19029C1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2A9E0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FE636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738BBA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68440A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B0FC9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D80AD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24EB5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5D0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9512D2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3E350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85B4D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77B82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E1A44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6BDA55D2" w14:textId="77777777" w:rsidTr="00877B3A">
        <w:trPr>
          <w:jc w:val="center"/>
        </w:trPr>
        <w:tc>
          <w:tcPr>
            <w:tcW w:w="1101" w:type="dxa"/>
            <w:shd w:val="clear" w:color="auto" w:fill="auto"/>
          </w:tcPr>
          <w:p w14:paraId="41A28C9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13F7A97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F2CE75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8B3B56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43A84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9BA6E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5EB01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96BA8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7E81D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48FDA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38185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0A49D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BFE2E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71508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62B07E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3A6EDEA7" w14:textId="77777777" w:rsidTr="00877B3A">
        <w:trPr>
          <w:jc w:val="center"/>
        </w:trPr>
        <w:tc>
          <w:tcPr>
            <w:tcW w:w="1101" w:type="dxa"/>
            <w:shd w:val="clear" w:color="auto" w:fill="auto"/>
          </w:tcPr>
          <w:p w14:paraId="321B48B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5BC1257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C80F2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4FAA78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9EE1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530A2F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E945E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2CB7F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9B60C4"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DC22B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2C5BF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D1B16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98FBB1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0A740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E11C2E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483DAE79" w14:textId="77777777" w:rsidTr="00877B3A">
        <w:trPr>
          <w:jc w:val="center"/>
        </w:trPr>
        <w:tc>
          <w:tcPr>
            <w:tcW w:w="1101" w:type="dxa"/>
            <w:shd w:val="clear" w:color="auto" w:fill="auto"/>
          </w:tcPr>
          <w:p w14:paraId="4A60722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71071E1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19A0A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736351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9E785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7B46B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53F12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56705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1261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BEB0F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98F76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5849A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DF1F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008855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1EF668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r>
      <w:tr w:rsidR="009A7E4E" w:rsidRPr="00CA657A" w14:paraId="577BD12A" w14:textId="77777777" w:rsidTr="00877B3A">
        <w:trPr>
          <w:jc w:val="center"/>
        </w:trPr>
        <w:tc>
          <w:tcPr>
            <w:tcW w:w="1101" w:type="dxa"/>
            <w:shd w:val="clear" w:color="auto" w:fill="auto"/>
          </w:tcPr>
          <w:p w14:paraId="015B38D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23A064A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B4123C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6D06132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195B0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67E5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EA15D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55B11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67808E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FAC42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4439D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6C3BA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3A7A1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6ADC8A"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9B4A3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r>
      <w:tr w:rsidR="009A7E4E" w:rsidRPr="00CA657A" w14:paraId="5610B696" w14:textId="77777777" w:rsidTr="00877B3A">
        <w:trPr>
          <w:jc w:val="center"/>
        </w:trPr>
        <w:tc>
          <w:tcPr>
            <w:tcW w:w="1101" w:type="dxa"/>
            <w:shd w:val="clear" w:color="auto" w:fill="auto"/>
          </w:tcPr>
          <w:p w14:paraId="44140B47"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50018686"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92937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32F9BA3"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729588"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DF49A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19CEA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18E875"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69A8E8B"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5B53A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4A3DC2C"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423C8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11A09BE"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EF4736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C59DF"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D</w:t>
            </w:r>
          </w:p>
        </w:tc>
      </w:tr>
      <w:tr w:rsidR="009A7E4E" w:rsidRPr="00CA657A" w14:paraId="599C5174" w14:textId="77777777" w:rsidTr="00877B3A">
        <w:trPr>
          <w:jc w:val="center"/>
        </w:trPr>
        <w:tc>
          <w:tcPr>
            <w:tcW w:w="1101" w:type="dxa"/>
            <w:shd w:val="clear" w:color="auto" w:fill="auto"/>
          </w:tcPr>
          <w:p w14:paraId="5A397062"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68993BE9"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Reserved</w:t>
            </w:r>
          </w:p>
        </w:tc>
      </w:tr>
      <w:tr w:rsidR="009A7E4E" w:rsidRPr="00CA657A" w14:paraId="04E46E22" w14:textId="77777777" w:rsidTr="00877B3A">
        <w:trPr>
          <w:jc w:val="center"/>
        </w:trPr>
        <w:tc>
          <w:tcPr>
            <w:tcW w:w="1101" w:type="dxa"/>
            <w:shd w:val="clear" w:color="auto" w:fill="auto"/>
            <w:vAlign w:val="center"/>
          </w:tcPr>
          <w:p w14:paraId="5CEDB9FD"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2704F980" w14:textId="77777777" w:rsidR="009A7E4E" w:rsidRPr="00CA657A" w:rsidRDefault="009A7E4E" w:rsidP="00877B3A">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4A61BE88" w14:textId="77777777" w:rsidR="009A7E4E" w:rsidRPr="00CA657A" w:rsidRDefault="009A7E4E" w:rsidP="009A7E4E"/>
    <w:p w14:paraId="37795939" w14:textId="77777777" w:rsidR="00D252AF" w:rsidRPr="00ED329D" w:rsidRDefault="00D252AF" w:rsidP="009A7E4E">
      <w:pPr>
        <w:rPr>
          <w:lang w:val="en-US"/>
        </w:rPr>
      </w:pPr>
    </w:p>
    <w:sectPr w:rsidR="00D252AF" w:rsidRPr="00ED329D" w:rsidSect="00C473A5">
      <w:headerReference w:type="even" r:id="rId25"/>
      <w:footerReference w:type="default" r:id="rId2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8DC597" w14:textId="77777777" w:rsidR="00AA50E5" w:rsidRDefault="00AA50E5">
      <w:r>
        <w:separator/>
      </w:r>
    </w:p>
  </w:endnote>
  <w:endnote w:type="continuationSeparator" w:id="0">
    <w:p w14:paraId="7FCA931E" w14:textId="77777777" w:rsidR="00AA50E5" w:rsidRDefault="00AA50E5">
      <w:r>
        <w:continuationSeparator/>
      </w:r>
    </w:p>
  </w:endnote>
  <w:endnote w:type="continuationNotice" w:id="1">
    <w:p w14:paraId="17FD4619" w14:textId="77777777" w:rsidR="00AA50E5" w:rsidRDefault="00AA50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Ericsson Hilda Light">
    <w:charset w:val="00"/>
    <w:family w:val="auto"/>
    <w:pitch w:val="variable"/>
    <w:sig w:usb0="00000287" w:usb1="00000000" w:usb2="00000000" w:usb3="00000000" w:csb0="0000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Malgun Gothic"/>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DengXian Light">
    <w:altName w:val="等线 Light"/>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3050705020303"/>
    <w:charset w:val="00"/>
    <w:family w:val="roman"/>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Ericsson Hilda">
    <w:altName w:val="Calibri"/>
    <w:charset w:val="00"/>
    <w:family w:val="auto"/>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5FC95" w14:textId="77777777" w:rsidR="00AA50E5" w:rsidRDefault="00AA50E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1CF738" w14:textId="77777777" w:rsidR="00AA50E5" w:rsidRDefault="00AA50E5">
      <w:r>
        <w:separator/>
      </w:r>
    </w:p>
  </w:footnote>
  <w:footnote w:type="continuationSeparator" w:id="0">
    <w:p w14:paraId="4DCF9B81" w14:textId="77777777" w:rsidR="00AA50E5" w:rsidRDefault="00AA50E5">
      <w:r>
        <w:continuationSeparator/>
      </w:r>
    </w:p>
  </w:footnote>
  <w:footnote w:type="continuationNotice" w:id="1">
    <w:p w14:paraId="3F69D092" w14:textId="77777777" w:rsidR="00AA50E5" w:rsidRDefault="00AA50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996E1B" w14:textId="77777777" w:rsidR="00AA50E5" w:rsidRDefault="00AA50E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E4675FA"/>
    <w:lvl w:ilvl="0">
      <w:start w:val="1"/>
      <w:numFmt w:val="decimal"/>
      <w:lvlText w:val="%1."/>
      <w:lvlJc w:val="left"/>
      <w:pPr>
        <w:tabs>
          <w:tab w:val="num" w:pos="1530"/>
        </w:tabs>
        <w:ind w:left="1530" w:hanging="36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23C61BD"/>
    <w:multiLevelType w:val="hybridMultilevel"/>
    <w:tmpl w:val="3F0C1DF8"/>
    <w:lvl w:ilvl="0" w:tplc="89C48F2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BDA27B2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93D66"/>
    <w:multiLevelType w:val="hybridMultilevel"/>
    <w:tmpl w:val="4B2AF15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5157125"/>
    <w:multiLevelType w:val="hybridMultilevel"/>
    <w:tmpl w:val="C67CFC32"/>
    <w:lvl w:ilvl="0" w:tplc="041D0001">
      <w:start w:val="1"/>
      <w:numFmt w:val="bullet"/>
      <w:lvlText w:val=""/>
      <w:lvlJc w:val="left"/>
      <w:pPr>
        <w:ind w:left="1283" w:hanging="360"/>
      </w:pPr>
      <w:rPr>
        <w:rFonts w:ascii="Symbol" w:hAnsi="Symbol" w:hint="default"/>
      </w:rPr>
    </w:lvl>
    <w:lvl w:ilvl="1" w:tplc="041D0003" w:tentative="1">
      <w:start w:val="1"/>
      <w:numFmt w:val="bullet"/>
      <w:lvlText w:val="o"/>
      <w:lvlJc w:val="left"/>
      <w:pPr>
        <w:ind w:left="2003" w:hanging="360"/>
      </w:pPr>
      <w:rPr>
        <w:rFonts w:ascii="Courier New" w:hAnsi="Courier New" w:cs="Courier New" w:hint="default"/>
      </w:rPr>
    </w:lvl>
    <w:lvl w:ilvl="2" w:tplc="041D0005" w:tentative="1">
      <w:start w:val="1"/>
      <w:numFmt w:val="bullet"/>
      <w:lvlText w:val=""/>
      <w:lvlJc w:val="left"/>
      <w:pPr>
        <w:ind w:left="2723" w:hanging="360"/>
      </w:pPr>
      <w:rPr>
        <w:rFonts w:ascii="Wingdings" w:hAnsi="Wingdings" w:hint="default"/>
      </w:rPr>
    </w:lvl>
    <w:lvl w:ilvl="3" w:tplc="041D0001" w:tentative="1">
      <w:start w:val="1"/>
      <w:numFmt w:val="bullet"/>
      <w:lvlText w:val=""/>
      <w:lvlJc w:val="left"/>
      <w:pPr>
        <w:ind w:left="3443" w:hanging="360"/>
      </w:pPr>
      <w:rPr>
        <w:rFonts w:ascii="Symbol" w:hAnsi="Symbol" w:hint="default"/>
      </w:rPr>
    </w:lvl>
    <w:lvl w:ilvl="4" w:tplc="041D0003" w:tentative="1">
      <w:start w:val="1"/>
      <w:numFmt w:val="bullet"/>
      <w:lvlText w:val="o"/>
      <w:lvlJc w:val="left"/>
      <w:pPr>
        <w:ind w:left="4163" w:hanging="360"/>
      </w:pPr>
      <w:rPr>
        <w:rFonts w:ascii="Courier New" w:hAnsi="Courier New" w:cs="Courier New" w:hint="default"/>
      </w:rPr>
    </w:lvl>
    <w:lvl w:ilvl="5" w:tplc="041D0005" w:tentative="1">
      <w:start w:val="1"/>
      <w:numFmt w:val="bullet"/>
      <w:lvlText w:val=""/>
      <w:lvlJc w:val="left"/>
      <w:pPr>
        <w:ind w:left="4883" w:hanging="360"/>
      </w:pPr>
      <w:rPr>
        <w:rFonts w:ascii="Wingdings" w:hAnsi="Wingdings" w:hint="default"/>
      </w:rPr>
    </w:lvl>
    <w:lvl w:ilvl="6" w:tplc="041D0001" w:tentative="1">
      <w:start w:val="1"/>
      <w:numFmt w:val="bullet"/>
      <w:lvlText w:val=""/>
      <w:lvlJc w:val="left"/>
      <w:pPr>
        <w:ind w:left="5603" w:hanging="360"/>
      </w:pPr>
      <w:rPr>
        <w:rFonts w:ascii="Symbol" w:hAnsi="Symbol" w:hint="default"/>
      </w:rPr>
    </w:lvl>
    <w:lvl w:ilvl="7" w:tplc="041D0003" w:tentative="1">
      <w:start w:val="1"/>
      <w:numFmt w:val="bullet"/>
      <w:lvlText w:val="o"/>
      <w:lvlJc w:val="left"/>
      <w:pPr>
        <w:ind w:left="6323" w:hanging="360"/>
      </w:pPr>
      <w:rPr>
        <w:rFonts w:ascii="Courier New" w:hAnsi="Courier New" w:cs="Courier New" w:hint="default"/>
      </w:rPr>
    </w:lvl>
    <w:lvl w:ilvl="8" w:tplc="041D0005" w:tentative="1">
      <w:start w:val="1"/>
      <w:numFmt w:val="bullet"/>
      <w:lvlText w:val=""/>
      <w:lvlJc w:val="left"/>
      <w:pPr>
        <w:ind w:left="7043" w:hanging="360"/>
      </w:pPr>
      <w:rPr>
        <w:rFonts w:ascii="Wingdings" w:hAnsi="Wingdings" w:hint="default"/>
      </w:rPr>
    </w:lvl>
  </w:abstractNum>
  <w:abstractNum w:abstractNumId="10" w15:restartNumberingAfterBreak="0">
    <w:nsid w:val="15307BE0"/>
    <w:multiLevelType w:val="hybridMultilevel"/>
    <w:tmpl w:val="D41AA8FC"/>
    <w:lvl w:ilvl="0" w:tplc="404AE6A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4DC4B42"/>
    <w:multiLevelType w:val="hybridMultilevel"/>
    <w:tmpl w:val="E1D08F8E"/>
    <w:lvl w:ilvl="0" w:tplc="937A490A">
      <w:numFmt w:val="bullet"/>
      <w:lvlText w:val="-"/>
      <w:lvlJc w:val="left"/>
      <w:pPr>
        <w:ind w:left="720" w:hanging="360"/>
      </w:pPr>
      <w:rPr>
        <w:rFonts w:ascii="Arial" w:eastAsia="SimSun" w:hAnsi="Arial" w:cs="Arial" w:hint="default"/>
      </w:rPr>
    </w:lvl>
    <w:lvl w:ilvl="1" w:tplc="AD984844">
      <w:numFmt w:val="bullet"/>
      <w:lvlText w:val="–"/>
      <w:lvlJc w:val="left"/>
      <w:pPr>
        <w:ind w:left="1644" w:hanging="564"/>
      </w:pPr>
      <w:rPr>
        <w:rFonts w:ascii="Arial" w:eastAsia="Times New Roman" w:hAnsi="Arial" w:cs="Arial"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95E2EA7"/>
    <w:multiLevelType w:val="hybridMultilevel"/>
    <w:tmpl w:val="03BC8852"/>
    <w:lvl w:ilvl="0" w:tplc="937A490A">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927F32"/>
    <w:multiLevelType w:val="hybridMultilevel"/>
    <w:tmpl w:val="058667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8" w15:restartNumberingAfterBreak="0">
    <w:nsid w:val="2FB01FD2"/>
    <w:multiLevelType w:val="multilevel"/>
    <w:tmpl w:val="2FB01FD2"/>
    <w:lvl w:ilvl="0">
      <w:start w:val="1"/>
      <w:numFmt w:val="decimal"/>
      <w:pStyle w:val="ListNumber4"/>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AB3CAD"/>
    <w:multiLevelType w:val="multilevel"/>
    <w:tmpl w:val="B3462428"/>
    <w:lvl w:ilvl="0">
      <w:start w:val="1"/>
      <w:numFmt w:val="decimal"/>
      <w:lvlText w:val="%1"/>
      <w:lvlJc w:val="left"/>
      <w:pPr>
        <w:ind w:left="1140" w:hanging="1140"/>
      </w:pPr>
      <w:rPr>
        <w:rFonts w:hint="default"/>
      </w:rPr>
    </w:lvl>
    <w:lvl w:ilvl="1">
      <w:start w:val="1"/>
      <w:numFmt w:val="decimal"/>
      <w:lvlText w:val="%1.%2"/>
      <w:lvlJc w:val="left"/>
      <w:pPr>
        <w:ind w:left="1128" w:hanging="1128"/>
      </w:p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4E033D"/>
    <w:multiLevelType w:val="hybridMultilevel"/>
    <w:tmpl w:val="F42E115E"/>
    <w:lvl w:ilvl="0" w:tplc="937A490A">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8461F85"/>
    <w:multiLevelType w:val="hybridMultilevel"/>
    <w:tmpl w:val="D7F435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AA46647"/>
    <w:multiLevelType w:val="hybridMultilevel"/>
    <w:tmpl w:val="73C49A82"/>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ABB66F0"/>
    <w:multiLevelType w:val="hybridMultilevel"/>
    <w:tmpl w:val="8FD668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B5D1FE6"/>
    <w:multiLevelType w:val="hybridMultilevel"/>
    <w:tmpl w:val="D06200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2B553E0"/>
    <w:multiLevelType w:val="hybridMultilevel"/>
    <w:tmpl w:val="1EB43B22"/>
    <w:lvl w:ilvl="0" w:tplc="75ACA638">
      <w:numFmt w:val="bullet"/>
      <w:lvlText w:val=""/>
      <w:lvlJc w:val="left"/>
      <w:pPr>
        <w:ind w:left="2486" w:hanging="360"/>
      </w:pPr>
      <w:rPr>
        <w:rFonts w:ascii="Symbol" w:eastAsia="Calibri" w:hAnsi="Symbol" w:cs="Times New Roman" w:hint="default"/>
      </w:rPr>
    </w:lvl>
    <w:lvl w:ilvl="1" w:tplc="041D0003">
      <w:start w:val="1"/>
      <w:numFmt w:val="bullet"/>
      <w:lvlText w:val="o"/>
      <w:lvlJc w:val="left"/>
      <w:pPr>
        <w:ind w:left="3206" w:hanging="360"/>
      </w:pPr>
      <w:rPr>
        <w:rFonts w:ascii="Courier New" w:hAnsi="Courier New" w:cs="Courier New" w:hint="default"/>
      </w:rPr>
    </w:lvl>
    <w:lvl w:ilvl="2" w:tplc="041D0005" w:tentative="1">
      <w:start w:val="1"/>
      <w:numFmt w:val="bullet"/>
      <w:lvlText w:val=""/>
      <w:lvlJc w:val="left"/>
      <w:pPr>
        <w:ind w:left="3926" w:hanging="360"/>
      </w:pPr>
      <w:rPr>
        <w:rFonts w:ascii="Wingdings" w:hAnsi="Wingdings" w:hint="default"/>
      </w:rPr>
    </w:lvl>
    <w:lvl w:ilvl="3" w:tplc="041D0001" w:tentative="1">
      <w:start w:val="1"/>
      <w:numFmt w:val="bullet"/>
      <w:lvlText w:val=""/>
      <w:lvlJc w:val="left"/>
      <w:pPr>
        <w:ind w:left="4646" w:hanging="360"/>
      </w:pPr>
      <w:rPr>
        <w:rFonts w:ascii="Symbol" w:hAnsi="Symbol" w:hint="default"/>
      </w:rPr>
    </w:lvl>
    <w:lvl w:ilvl="4" w:tplc="041D0003" w:tentative="1">
      <w:start w:val="1"/>
      <w:numFmt w:val="bullet"/>
      <w:lvlText w:val="o"/>
      <w:lvlJc w:val="left"/>
      <w:pPr>
        <w:ind w:left="5366" w:hanging="360"/>
      </w:pPr>
      <w:rPr>
        <w:rFonts w:ascii="Courier New" w:hAnsi="Courier New" w:cs="Courier New" w:hint="default"/>
      </w:rPr>
    </w:lvl>
    <w:lvl w:ilvl="5" w:tplc="041D0005" w:tentative="1">
      <w:start w:val="1"/>
      <w:numFmt w:val="bullet"/>
      <w:lvlText w:val=""/>
      <w:lvlJc w:val="left"/>
      <w:pPr>
        <w:ind w:left="6086" w:hanging="360"/>
      </w:pPr>
      <w:rPr>
        <w:rFonts w:ascii="Wingdings" w:hAnsi="Wingdings" w:hint="default"/>
      </w:rPr>
    </w:lvl>
    <w:lvl w:ilvl="6" w:tplc="041D0001" w:tentative="1">
      <w:start w:val="1"/>
      <w:numFmt w:val="bullet"/>
      <w:lvlText w:val=""/>
      <w:lvlJc w:val="left"/>
      <w:pPr>
        <w:ind w:left="6806" w:hanging="360"/>
      </w:pPr>
      <w:rPr>
        <w:rFonts w:ascii="Symbol" w:hAnsi="Symbol" w:hint="default"/>
      </w:rPr>
    </w:lvl>
    <w:lvl w:ilvl="7" w:tplc="041D0003" w:tentative="1">
      <w:start w:val="1"/>
      <w:numFmt w:val="bullet"/>
      <w:lvlText w:val="o"/>
      <w:lvlJc w:val="left"/>
      <w:pPr>
        <w:ind w:left="7526" w:hanging="360"/>
      </w:pPr>
      <w:rPr>
        <w:rFonts w:ascii="Courier New" w:hAnsi="Courier New" w:cs="Courier New" w:hint="default"/>
      </w:rPr>
    </w:lvl>
    <w:lvl w:ilvl="8" w:tplc="041D0005" w:tentative="1">
      <w:start w:val="1"/>
      <w:numFmt w:val="bullet"/>
      <w:lvlText w:val=""/>
      <w:lvlJc w:val="left"/>
      <w:pPr>
        <w:ind w:left="8246" w:hanging="360"/>
      </w:pPr>
      <w:rPr>
        <w:rFonts w:ascii="Wingdings" w:hAnsi="Wingdings" w:hint="default"/>
      </w:rPr>
    </w:lvl>
  </w:abstractNum>
  <w:abstractNum w:abstractNumId="3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1154EAB"/>
    <w:multiLevelType w:val="hybridMultilevel"/>
    <w:tmpl w:val="8F86AC2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3" w15:restartNumberingAfterBreak="0">
    <w:nsid w:val="7B0C55AE"/>
    <w:multiLevelType w:val="hybridMultilevel"/>
    <w:tmpl w:val="927419D8"/>
    <w:lvl w:ilvl="0" w:tplc="ECE82672">
      <w:start w:val="1"/>
      <w:numFmt w:val="bullet"/>
      <w:lvlText w:val="—"/>
      <w:lvlJc w:val="left"/>
      <w:pPr>
        <w:tabs>
          <w:tab w:val="num" w:pos="720"/>
        </w:tabs>
        <w:ind w:left="720" w:hanging="360"/>
      </w:pPr>
      <w:rPr>
        <w:rFonts w:ascii="Ericsson Hilda Light" w:hAnsi="Ericsson Hilda Light" w:hint="default"/>
      </w:rPr>
    </w:lvl>
    <w:lvl w:ilvl="1" w:tplc="3EFA56D8">
      <w:start w:val="5230"/>
      <w:numFmt w:val="bullet"/>
      <w:lvlText w:val="—"/>
      <w:lvlJc w:val="left"/>
      <w:pPr>
        <w:tabs>
          <w:tab w:val="num" w:pos="1440"/>
        </w:tabs>
        <w:ind w:left="1440" w:hanging="360"/>
      </w:pPr>
      <w:rPr>
        <w:rFonts w:ascii="Ericsson Hilda Light" w:hAnsi="Ericsson Hilda Light" w:hint="default"/>
      </w:rPr>
    </w:lvl>
    <w:lvl w:ilvl="2" w:tplc="2B583434">
      <w:start w:val="5230"/>
      <w:numFmt w:val="bullet"/>
      <w:lvlText w:val="—"/>
      <w:lvlJc w:val="left"/>
      <w:pPr>
        <w:tabs>
          <w:tab w:val="num" w:pos="2160"/>
        </w:tabs>
        <w:ind w:left="2160" w:hanging="360"/>
      </w:pPr>
      <w:rPr>
        <w:rFonts w:ascii="Ericsson Hilda Light" w:hAnsi="Ericsson Hilda Light" w:hint="default"/>
      </w:rPr>
    </w:lvl>
    <w:lvl w:ilvl="3" w:tplc="FD5E82B6" w:tentative="1">
      <w:start w:val="1"/>
      <w:numFmt w:val="bullet"/>
      <w:lvlText w:val="—"/>
      <w:lvlJc w:val="left"/>
      <w:pPr>
        <w:tabs>
          <w:tab w:val="num" w:pos="2880"/>
        </w:tabs>
        <w:ind w:left="2880" w:hanging="360"/>
      </w:pPr>
      <w:rPr>
        <w:rFonts w:ascii="Ericsson Hilda Light" w:hAnsi="Ericsson Hilda Light" w:hint="default"/>
      </w:rPr>
    </w:lvl>
    <w:lvl w:ilvl="4" w:tplc="F0E4116C" w:tentative="1">
      <w:start w:val="1"/>
      <w:numFmt w:val="bullet"/>
      <w:lvlText w:val="—"/>
      <w:lvlJc w:val="left"/>
      <w:pPr>
        <w:tabs>
          <w:tab w:val="num" w:pos="3600"/>
        </w:tabs>
        <w:ind w:left="3600" w:hanging="360"/>
      </w:pPr>
      <w:rPr>
        <w:rFonts w:ascii="Ericsson Hilda Light" w:hAnsi="Ericsson Hilda Light" w:hint="default"/>
      </w:rPr>
    </w:lvl>
    <w:lvl w:ilvl="5" w:tplc="DEDAFFE6" w:tentative="1">
      <w:start w:val="1"/>
      <w:numFmt w:val="bullet"/>
      <w:lvlText w:val="—"/>
      <w:lvlJc w:val="left"/>
      <w:pPr>
        <w:tabs>
          <w:tab w:val="num" w:pos="4320"/>
        </w:tabs>
        <w:ind w:left="4320" w:hanging="360"/>
      </w:pPr>
      <w:rPr>
        <w:rFonts w:ascii="Ericsson Hilda Light" w:hAnsi="Ericsson Hilda Light" w:hint="default"/>
      </w:rPr>
    </w:lvl>
    <w:lvl w:ilvl="6" w:tplc="C3DA2818" w:tentative="1">
      <w:start w:val="1"/>
      <w:numFmt w:val="bullet"/>
      <w:lvlText w:val="—"/>
      <w:lvlJc w:val="left"/>
      <w:pPr>
        <w:tabs>
          <w:tab w:val="num" w:pos="5040"/>
        </w:tabs>
        <w:ind w:left="5040" w:hanging="360"/>
      </w:pPr>
      <w:rPr>
        <w:rFonts w:ascii="Ericsson Hilda Light" w:hAnsi="Ericsson Hilda Light" w:hint="default"/>
      </w:rPr>
    </w:lvl>
    <w:lvl w:ilvl="7" w:tplc="93FA735C" w:tentative="1">
      <w:start w:val="1"/>
      <w:numFmt w:val="bullet"/>
      <w:lvlText w:val="—"/>
      <w:lvlJc w:val="left"/>
      <w:pPr>
        <w:tabs>
          <w:tab w:val="num" w:pos="5760"/>
        </w:tabs>
        <w:ind w:left="5760" w:hanging="360"/>
      </w:pPr>
      <w:rPr>
        <w:rFonts w:ascii="Ericsson Hilda Light" w:hAnsi="Ericsson Hilda Light" w:hint="default"/>
      </w:rPr>
    </w:lvl>
    <w:lvl w:ilvl="8" w:tplc="13342B6E" w:tentative="1">
      <w:start w:val="1"/>
      <w:numFmt w:val="bullet"/>
      <w:lvlText w:val="—"/>
      <w:lvlJc w:val="left"/>
      <w:pPr>
        <w:tabs>
          <w:tab w:val="num" w:pos="6480"/>
        </w:tabs>
        <w:ind w:left="6480" w:hanging="360"/>
      </w:pPr>
      <w:rPr>
        <w:rFonts w:ascii="Ericsson Hilda Light" w:hAnsi="Ericsson Hilda Light" w:hint="default"/>
      </w:rPr>
    </w:lvl>
  </w:abstractNum>
  <w:abstractNum w:abstractNumId="54" w15:restartNumberingAfterBreak="0">
    <w:nsid w:val="7B5E0F60"/>
    <w:multiLevelType w:val="hybridMultilevel"/>
    <w:tmpl w:val="FF2CFF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1"/>
  </w:num>
  <w:num w:numId="2">
    <w:abstractNumId w:val="29"/>
  </w:num>
  <w:num w:numId="3">
    <w:abstractNumId w:val="1"/>
  </w:num>
  <w:num w:numId="4">
    <w:abstractNumId w:val="42"/>
  </w:num>
  <w:num w:numId="5">
    <w:abstractNumId w:val="44"/>
  </w:num>
  <w:num w:numId="6">
    <w:abstractNumId w:val="47"/>
  </w:num>
  <w:num w:numId="7">
    <w:abstractNumId w:val="11"/>
  </w:num>
  <w:num w:numId="8">
    <w:abstractNumId w:val="13"/>
  </w:num>
  <w:num w:numId="9">
    <w:abstractNumId w:val="8"/>
  </w:num>
  <w:num w:numId="10">
    <w:abstractNumId w:val="50"/>
  </w:num>
  <w:num w:numId="11">
    <w:abstractNumId w:val="24"/>
  </w:num>
  <w:num w:numId="12">
    <w:abstractNumId w:val="49"/>
  </w:num>
  <w:num w:numId="13">
    <w:abstractNumId w:val="23"/>
  </w:num>
  <w:num w:numId="14">
    <w:abstractNumId w:val="18"/>
  </w:num>
  <w:num w:numId="15">
    <w:abstractNumId w:val="27"/>
  </w:num>
  <w:num w:numId="16">
    <w:abstractNumId w:val="30"/>
  </w:num>
  <w:num w:numId="17">
    <w:abstractNumId w:val="21"/>
  </w:num>
  <w:num w:numId="18">
    <w:abstractNumId w:val="14"/>
  </w:num>
  <w:num w:numId="19">
    <w:abstractNumId w:val="12"/>
  </w:num>
  <w:num w:numId="20">
    <w:abstractNumId w:val="31"/>
  </w:num>
  <w:num w:numId="21">
    <w:abstractNumId w:val="31"/>
  </w:num>
  <w:num w:numId="22">
    <w:abstractNumId w:val="9"/>
  </w:num>
  <w:num w:numId="23">
    <w:abstractNumId w:val="43"/>
  </w:num>
  <w:num w:numId="24">
    <w:abstractNumId w:val="34"/>
  </w:num>
  <w:num w:numId="25">
    <w:abstractNumId w:val="3"/>
  </w:num>
  <w:num w:numId="26">
    <w:abstractNumId w:val="10"/>
  </w:num>
  <w:num w:numId="27">
    <w:abstractNumId w:val="7"/>
  </w:num>
  <w:num w:numId="28">
    <w:abstractNumId w:val="39"/>
  </w:num>
  <w:num w:numId="29">
    <w:abstractNumId w:val="56"/>
  </w:num>
  <w:num w:numId="30">
    <w:abstractNumId w:val="40"/>
  </w:num>
  <w:num w:numId="31">
    <w:abstractNumId w:val="37"/>
  </w:num>
  <w:num w:numId="32">
    <w:abstractNumId w:val="52"/>
  </w:num>
  <w:num w:numId="33">
    <w:abstractNumId w:val="33"/>
  </w:num>
  <w:num w:numId="34">
    <w:abstractNumId w:val="48"/>
  </w:num>
  <w:num w:numId="35">
    <w:abstractNumId w:val="38"/>
  </w:num>
  <w:num w:numId="36">
    <w:abstractNumId w:val="17"/>
  </w:num>
  <w:num w:numId="37">
    <w:abstractNumId w:val="5"/>
  </w:num>
  <w:num w:numId="38">
    <w:abstractNumId w:val="6"/>
  </w:num>
  <w:num w:numId="39">
    <w:abstractNumId w:val="51"/>
  </w:num>
  <w:num w:numId="40">
    <w:abstractNumId w:val="45"/>
  </w:num>
  <w:num w:numId="41">
    <w:abstractNumId w:val="55"/>
  </w:num>
  <w:num w:numId="42">
    <w:abstractNumId w:val="20"/>
  </w:num>
  <w:num w:numId="43">
    <w:abstractNumId w:val="36"/>
  </w:num>
  <w:num w:numId="44">
    <w:abstractNumId w:val="26"/>
  </w:num>
  <w:num w:numId="45">
    <w:abstractNumId w:val="25"/>
  </w:num>
  <w:num w:numId="46">
    <w:abstractNumId w:val="15"/>
  </w:num>
  <w:num w:numId="47">
    <w:abstractNumId w:val="0"/>
  </w:num>
  <w:num w:numId="48">
    <w:abstractNumId w:val="4"/>
  </w:num>
  <w:num w:numId="49">
    <w:abstractNumId w:val="32"/>
  </w:num>
  <w:num w:numId="50">
    <w:abstractNumId w:val="19"/>
  </w:num>
  <w:num w:numId="51">
    <w:abstractNumId w:val="35"/>
  </w:num>
  <w:num w:numId="52">
    <w:abstractNumId w:val="46"/>
  </w:num>
  <w:num w:numId="53">
    <w:abstractNumId w:val="22"/>
  </w:num>
  <w:num w:numId="54">
    <w:abstractNumId w:val="28"/>
  </w:num>
  <w:num w:numId="55">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56">
    <w:abstractNumId w:val="16"/>
  </w:num>
  <w:num w:numId="57">
    <w:abstractNumId w:val="53"/>
  </w:num>
  <w:num w:numId="58">
    <w:abstractNumId w:val="5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1433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0BCC"/>
    <w:rsid w:val="00000D64"/>
    <w:rsid w:val="00000E10"/>
    <w:rsid w:val="00000FCE"/>
    <w:rsid w:val="00001F68"/>
    <w:rsid w:val="00002851"/>
    <w:rsid w:val="00002A37"/>
    <w:rsid w:val="00003095"/>
    <w:rsid w:val="0000319B"/>
    <w:rsid w:val="00003880"/>
    <w:rsid w:val="000038C2"/>
    <w:rsid w:val="0000393D"/>
    <w:rsid w:val="00004263"/>
    <w:rsid w:val="000049A0"/>
    <w:rsid w:val="0000550B"/>
    <w:rsid w:val="0000564C"/>
    <w:rsid w:val="00006294"/>
    <w:rsid w:val="00006446"/>
    <w:rsid w:val="00006896"/>
    <w:rsid w:val="00006B0C"/>
    <w:rsid w:val="00006BC2"/>
    <w:rsid w:val="000074B0"/>
    <w:rsid w:val="000075D1"/>
    <w:rsid w:val="00007CDC"/>
    <w:rsid w:val="00007CF5"/>
    <w:rsid w:val="00010181"/>
    <w:rsid w:val="000113B9"/>
    <w:rsid w:val="00011B28"/>
    <w:rsid w:val="000122F3"/>
    <w:rsid w:val="000125BF"/>
    <w:rsid w:val="00012DEB"/>
    <w:rsid w:val="000136DD"/>
    <w:rsid w:val="0001491B"/>
    <w:rsid w:val="000150E6"/>
    <w:rsid w:val="00015D15"/>
    <w:rsid w:val="00015FF8"/>
    <w:rsid w:val="000165D3"/>
    <w:rsid w:val="00017CC8"/>
    <w:rsid w:val="00021175"/>
    <w:rsid w:val="000215CC"/>
    <w:rsid w:val="00021EC4"/>
    <w:rsid w:val="000220BA"/>
    <w:rsid w:val="000222E7"/>
    <w:rsid w:val="0002259D"/>
    <w:rsid w:val="00022918"/>
    <w:rsid w:val="00022F58"/>
    <w:rsid w:val="00023329"/>
    <w:rsid w:val="00023728"/>
    <w:rsid w:val="00023C1F"/>
    <w:rsid w:val="00024B55"/>
    <w:rsid w:val="0002564D"/>
    <w:rsid w:val="00025DDE"/>
    <w:rsid w:val="00025ECA"/>
    <w:rsid w:val="00026797"/>
    <w:rsid w:val="00026D4E"/>
    <w:rsid w:val="000272E7"/>
    <w:rsid w:val="000274E3"/>
    <w:rsid w:val="000301B9"/>
    <w:rsid w:val="0003064D"/>
    <w:rsid w:val="00030AF1"/>
    <w:rsid w:val="00031AE6"/>
    <w:rsid w:val="00031D25"/>
    <w:rsid w:val="00031E37"/>
    <w:rsid w:val="000325B8"/>
    <w:rsid w:val="000330CA"/>
    <w:rsid w:val="00033406"/>
    <w:rsid w:val="00033458"/>
    <w:rsid w:val="00033F8D"/>
    <w:rsid w:val="00033FB1"/>
    <w:rsid w:val="000341BB"/>
    <w:rsid w:val="0003481C"/>
    <w:rsid w:val="000349FC"/>
    <w:rsid w:val="00034C15"/>
    <w:rsid w:val="00035874"/>
    <w:rsid w:val="0003587B"/>
    <w:rsid w:val="00035D10"/>
    <w:rsid w:val="00036BA1"/>
    <w:rsid w:val="00037514"/>
    <w:rsid w:val="00037584"/>
    <w:rsid w:val="000404EE"/>
    <w:rsid w:val="00040C80"/>
    <w:rsid w:val="000415D1"/>
    <w:rsid w:val="00042081"/>
    <w:rsid w:val="000422E2"/>
    <w:rsid w:val="000422E3"/>
    <w:rsid w:val="000425F9"/>
    <w:rsid w:val="00042DFE"/>
    <w:rsid w:val="00042F22"/>
    <w:rsid w:val="00043517"/>
    <w:rsid w:val="00043A68"/>
    <w:rsid w:val="00043BCB"/>
    <w:rsid w:val="000444EF"/>
    <w:rsid w:val="00044D93"/>
    <w:rsid w:val="00046658"/>
    <w:rsid w:val="0004677B"/>
    <w:rsid w:val="00047116"/>
    <w:rsid w:val="000471DF"/>
    <w:rsid w:val="00047892"/>
    <w:rsid w:val="000503F0"/>
    <w:rsid w:val="00050BBF"/>
    <w:rsid w:val="00051193"/>
    <w:rsid w:val="00051CC2"/>
    <w:rsid w:val="00052A07"/>
    <w:rsid w:val="00052D5F"/>
    <w:rsid w:val="00053094"/>
    <w:rsid w:val="000534E3"/>
    <w:rsid w:val="000534EE"/>
    <w:rsid w:val="00054DEE"/>
    <w:rsid w:val="00054E1D"/>
    <w:rsid w:val="00055363"/>
    <w:rsid w:val="00055365"/>
    <w:rsid w:val="0005606A"/>
    <w:rsid w:val="00056117"/>
    <w:rsid w:val="00056502"/>
    <w:rsid w:val="00056579"/>
    <w:rsid w:val="00056A35"/>
    <w:rsid w:val="00057008"/>
    <w:rsid w:val="00057117"/>
    <w:rsid w:val="000574F0"/>
    <w:rsid w:val="0006093E"/>
    <w:rsid w:val="00060BA2"/>
    <w:rsid w:val="000614B4"/>
    <w:rsid w:val="00061651"/>
    <w:rsid w:val="000616E7"/>
    <w:rsid w:val="00061EB7"/>
    <w:rsid w:val="000633B3"/>
    <w:rsid w:val="00063566"/>
    <w:rsid w:val="0006487E"/>
    <w:rsid w:val="0006490C"/>
    <w:rsid w:val="00065370"/>
    <w:rsid w:val="00065E1A"/>
    <w:rsid w:val="0006611B"/>
    <w:rsid w:val="0006627A"/>
    <w:rsid w:val="000671F6"/>
    <w:rsid w:val="00067497"/>
    <w:rsid w:val="000702BE"/>
    <w:rsid w:val="0007044F"/>
    <w:rsid w:val="00070E45"/>
    <w:rsid w:val="0007148C"/>
    <w:rsid w:val="00072546"/>
    <w:rsid w:val="000726ED"/>
    <w:rsid w:val="00072A84"/>
    <w:rsid w:val="00072E02"/>
    <w:rsid w:val="000732E8"/>
    <w:rsid w:val="00073A91"/>
    <w:rsid w:val="0007411B"/>
    <w:rsid w:val="000741AC"/>
    <w:rsid w:val="00074AE5"/>
    <w:rsid w:val="00074DCF"/>
    <w:rsid w:val="0007518B"/>
    <w:rsid w:val="0007560A"/>
    <w:rsid w:val="00076828"/>
    <w:rsid w:val="0007693E"/>
    <w:rsid w:val="00076CDD"/>
    <w:rsid w:val="000770F0"/>
    <w:rsid w:val="00077E5F"/>
    <w:rsid w:val="00080195"/>
    <w:rsid w:val="0008036A"/>
    <w:rsid w:val="00080C4A"/>
    <w:rsid w:val="00081045"/>
    <w:rsid w:val="000815B0"/>
    <w:rsid w:val="00081AE6"/>
    <w:rsid w:val="00081BCD"/>
    <w:rsid w:val="00081C85"/>
    <w:rsid w:val="00081EEC"/>
    <w:rsid w:val="000821DF"/>
    <w:rsid w:val="000823AD"/>
    <w:rsid w:val="00082789"/>
    <w:rsid w:val="000830BD"/>
    <w:rsid w:val="00083A7E"/>
    <w:rsid w:val="00084C52"/>
    <w:rsid w:val="000855EB"/>
    <w:rsid w:val="00085940"/>
    <w:rsid w:val="00085B52"/>
    <w:rsid w:val="00085E5C"/>
    <w:rsid w:val="000866F2"/>
    <w:rsid w:val="000868B5"/>
    <w:rsid w:val="00087176"/>
    <w:rsid w:val="0008758D"/>
    <w:rsid w:val="00087887"/>
    <w:rsid w:val="0009009F"/>
    <w:rsid w:val="00091557"/>
    <w:rsid w:val="00091634"/>
    <w:rsid w:val="00091D7F"/>
    <w:rsid w:val="000924C1"/>
    <w:rsid w:val="000924F0"/>
    <w:rsid w:val="00092AA0"/>
    <w:rsid w:val="00092E89"/>
    <w:rsid w:val="00093474"/>
    <w:rsid w:val="0009352F"/>
    <w:rsid w:val="000943EF"/>
    <w:rsid w:val="00094565"/>
    <w:rsid w:val="000945FB"/>
    <w:rsid w:val="0009464F"/>
    <w:rsid w:val="00094CFF"/>
    <w:rsid w:val="0009510F"/>
    <w:rsid w:val="00095152"/>
    <w:rsid w:val="00096394"/>
    <w:rsid w:val="000965BB"/>
    <w:rsid w:val="00096951"/>
    <w:rsid w:val="00096A86"/>
    <w:rsid w:val="00096F8B"/>
    <w:rsid w:val="000970F4"/>
    <w:rsid w:val="000972E1"/>
    <w:rsid w:val="00097CE2"/>
    <w:rsid w:val="000A0285"/>
    <w:rsid w:val="000A0327"/>
    <w:rsid w:val="000A054B"/>
    <w:rsid w:val="000A1394"/>
    <w:rsid w:val="000A1B7B"/>
    <w:rsid w:val="000A1C22"/>
    <w:rsid w:val="000A1E8D"/>
    <w:rsid w:val="000A2990"/>
    <w:rsid w:val="000A2D42"/>
    <w:rsid w:val="000A30B3"/>
    <w:rsid w:val="000A33D8"/>
    <w:rsid w:val="000A503F"/>
    <w:rsid w:val="000A5155"/>
    <w:rsid w:val="000A56F2"/>
    <w:rsid w:val="000A6ECB"/>
    <w:rsid w:val="000A7026"/>
    <w:rsid w:val="000B1E48"/>
    <w:rsid w:val="000B1F69"/>
    <w:rsid w:val="000B2147"/>
    <w:rsid w:val="000B24F4"/>
    <w:rsid w:val="000B2719"/>
    <w:rsid w:val="000B28B4"/>
    <w:rsid w:val="000B2DA5"/>
    <w:rsid w:val="000B370C"/>
    <w:rsid w:val="000B3A8F"/>
    <w:rsid w:val="000B4695"/>
    <w:rsid w:val="000B4AB9"/>
    <w:rsid w:val="000B58C3"/>
    <w:rsid w:val="000B5C4F"/>
    <w:rsid w:val="000B61E9"/>
    <w:rsid w:val="000B64A1"/>
    <w:rsid w:val="000B6C68"/>
    <w:rsid w:val="000B7F6B"/>
    <w:rsid w:val="000C165A"/>
    <w:rsid w:val="000C20AF"/>
    <w:rsid w:val="000C2BC6"/>
    <w:rsid w:val="000C2E19"/>
    <w:rsid w:val="000C33BD"/>
    <w:rsid w:val="000C3594"/>
    <w:rsid w:val="000C49AB"/>
    <w:rsid w:val="000C5158"/>
    <w:rsid w:val="000C546E"/>
    <w:rsid w:val="000C5F5E"/>
    <w:rsid w:val="000C63C2"/>
    <w:rsid w:val="000C65A3"/>
    <w:rsid w:val="000C714F"/>
    <w:rsid w:val="000C71E3"/>
    <w:rsid w:val="000D055A"/>
    <w:rsid w:val="000D0D07"/>
    <w:rsid w:val="000D16F2"/>
    <w:rsid w:val="000D1718"/>
    <w:rsid w:val="000D1958"/>
    <w:rsid w:val="000D1BFB"/>
    <w:rsid w:val="000D2378"/>
    <w:rsid w:val="000D2B13"/>
    <w:rsid w:val="000D3B10"/>
    <w:rsid w:val="000D3D98"/>
    <w:rsid w:val="000D3E2B"/>
    <w:rsid w:val="000D4797"/>
    <w:rsid w:val="000D5211"/>
    <w:rsid w:val="000D57D5"/>
    <w:rsid w:val="000D72D7"/>
    <w:rsid w:val="000D7EBA"/>
    <w:rsid w:val="000D7ECD"/>
    <w:rsid w:val="000E00BF"/>
    <w:rsid w:val="000E0527"/>
    <w:rsid w:val="000E1750"/>
    <w:rsid w:val="000E1B30"/>
    <w:rsid w:val="000E1CB0"/>
    <w:rsid w:val="000E1E92"/>
    <w:rsid w:val="000E43DE"/>
    <w:rsid w:val="000E487C"/>
    <w:rsid w:val="000E50CA"/>
    <w:rsid w:val="000E5719"/>
    <w:rsid w:val="000E5935"/>
    <w:rsid w:val="000E5A29"/>
    <w:rsid w:val="000E61C0"/>
    <w:rsid w:val="000E67D1"/>
    <w:rsid w:val="000E6ED6"/>
    <w:rsid w:val="000E75DA"/>
    <w:rsid w:val="000E7B66"/>
    <w:rsid w:val="000F06D6"/>
    <w:rsid w:val="000F0EB1"/>
    <w:rsid w:val="000F1106"/>
    <w:rsid w:val="000F186F"/>
    <w:rsid w:val="000F18B9"/>
    <w:rsid w:val="000F1963"/>
    <w:rsid w:val="000F1CBC"/>
    <w:rsid w:val="000F3752"/>
    <w:rsid w:val="000F3BE9"/>
    <w:rsid w:val="000F3D54"/>
    <w:rsid w:val="000F3F6C"/>
    <w:rsid w:val="000F3F95"/>
    <w:rsid w:val="000F41FA"/>
    <w:rsid w:val="000F4FA6"/>
    <w:rsid w:val="000F5327"/>
    <w:rsid w:val="000F544F"/>
    <w:rsid w:val="000F5588"/>
    <w:rsid w:val="000F56D0"/>
    <w:rsid w:val="000F6134"/>
    <w:rsid w:val="000F68BA"/>
    <w:rsid w:val="000F68C7"/>
    <w:rsid w:val="000F6DF3"/>
    <w:rsid w:val="000F7A7D"/>
    <w:rsid w:val="000F7E82"/>
    <w:rsid w:val="001005BB"/>
    <w:rsid w:val="001005FF"/>
    <w:rsid w:val="00100A5F"/>
    <w:rsid w:val="00102056"/>
    <w:rsid w:val="00102248"/>
    <w:rsid w:val="001027F9"/>
    <w:rsid w:val="00102C42"/>
    <w:rsid w:val="00102F53"/>
    <w:rsid w:val="001033D1"/>
    <w:rsid w:val="001037E2"/>
    <w:rsid w:val="00103FAC"/>
    <w:rsid w:val="00104AA4"/>
    <w:rsid w:val="001051AD"/>
    <w:rsid w:val="00105223"/>
    <w:rsid w:val="00105269"/>
    <w:rsid w:val="001052FA"/>
    <w:rsid w:val="00105520"/>
    <w:rsid w:val="00105B46"/>
    <w:rsid w:val="00106091"/>
    <w:rsid w:val="001062FB"/>
    <w:rsid w:val="0010631C"/>
    <w:rsid w:val="001063E6"/>
    <w:rsid w:val="00106A82"/>
    <w:rsid w:val="0010735A"/>
    <w:rsid w:val="001077B9"/>
    <w:rsid w:val="00110211"/>
    <w:rsid w:val="001114B5"/>
    <w:rsid w:val="0011172C"/>
    <w:rsid w:val="00111E48"/>
    <w:rsid w:val="001128CC"/>
    <w:rsid w:val="00112BA2"/>
    <w:rsid w:val="00112F7A"/>
    <w:rsid w:val="001135AD"/>
    <w:rsid w:val="00113873"/>
    <w:rsid w:val="00113CF4"/>
    <w:rsid w:val="00114276"/>
    <w:rsid w:val="001142FC"/>
    <w:rsid w:val="00114A50"/>
    <w:rsid w:val="001151AA"/>
    <w:rsid w:val="001152D2"/>
    <w:rsid w:val="001153EA"/>
    <w:rsid w:val="00115643"/>
    <w:rsid w:val="00115ABE"/>
    <w:rsid w:val="001161D0"/>
    <w:rsid w:val="001164B6"/>
    <w:rsid w:val="0011667C"/>
    <w:rsid w:val="00116765"/>
    <w:rsid w:val="00116B9B"/>
    <w:rsid w:val="00117177"/>
    <w:rsid w:val="001172DB"/>
    <w:rsid w:val="00117A00"/>
    <w:rsid w:val="0012003E"/>
    <w:rsid w:val="0012047F"/>
    <w:rsid w:val="00120A4F"/>
    <w:rsid w:val="00120E65"/>
    <w:rsid w:val="00121736"/>
    <w:rsid w:val="001219F5"/>
    <w:rsid w:val="00121A20"/>
    <w:rsid w:val="001229A6"/>
    <w:rsid w:val="0012377F"/>
    <w:rsid w:val="00123AA7"/>
    <w:rsid w:val="00124314"/>
    <w:rsid w:val="00125AE8"/>
    <w:rsid w:val="00126316"/>
    <w:rsid w:val="001265D7"/>
    <w:rsid w:val="00126B4A"/>
    <w:rsid w:val="00126B6A"/>
    <w:rsid w:val="00127E4D"/>
    <w:rsid w:val="00130DC9"/>
    <w:rsid w:val="00130FB0"/>
    <w:rsid w:val="001323CD"/>
    <w:rsid w:val="001327D7"/>
    <w:rsid w:val="00132FD0"/>
    <w:rsid w:val="001333A8"/>
    <w:rsid w:val="0013396E"/>
    <w:rsid w:val="00133FD6"/>
    <w:rsid w:val="00134084"/>
    <w:rsid w:val="001344C0"/>
    <w:rsid w:val="001346FA"/>
    <w:rsid w:val="00134BAD"/>
    <w:rsid w:val="00134D2D"/>
    <w:rsid w:val="00134FF9"/>
    <w:rsid w:val="00135252"/>
    <w:rsid w:val="0013543E"/>
    <w:rsid w:val="00136149"/>
    <w:rsid w:val="00136A8D"/>
    <w:rsid w:val="001373A1"/>
    <w:rsid w:val="00137AB5"/>
    <w:rsid w:val="00137D3D"/>
    <w:rsid w:val="00137F0B"/>
    <w:rsid w:val="00140375"/>
    <w:rsid w:val="00140649"/>
    <w:rsid w:val="00140A28"/>
    <w:rsid w:val="00141138"/>
    <w:rsid w:val="001411BE"/>
    <w:rsid w:val="00142211"/>
    <w:rsid w:val="001439F0"/>
    <w:rsid w:val="001448C6"/>
    <w:rsid w:val="001449A3"/>
    <w:rsid w:val="0014511C"/>
    <w:rsid w:val="0014530C"/>
    <w:rsid w:val="001454E9"/>
    <w:rsid w:val="00145C84"/>
    <w:rsid w:val="00145DAB"/>
    <w:rsid w:val="00145E77"/>
    <w:rsid w:val="001462BD"/>
    <w:rsid w:val="0014642F"/>
    <w:rsid w:val="00146794"/>
    <w:rsid w:val="00146CC2"/>
    <w:rsid w:val="001475E9"/>
    <w:rsid w:val="00147603"/>
    <w:rsid w:val="00147CEA"/>
    <w:rsid w:val="00150621"/>
    <w:rsid w:val="00150C61"/>
    <w:rsid w:val="001517C1"/>
    <w:rsid w:val="00151B7A"/>
    <w:rsid w:val="00151E23"/>
    <w:rsid w:val="001526E0"/>
    <w:rsid w:val="00152850"/>
    <w:rsid w:val="0015290F"/>
    <w:rsid w:val="00153C1B"/>
    <w:rsid w:val="001540D4"/>
    <w:rsid w:val="001551B5"/>
    <w:rsid w:val="001560EA"/>
    <w:rsid w:val="00156196"/>
    <w:rsid w:val="00156A8D"/>
    <w:rsid w:val="00156F2E"/>
    <w:rsid w:val="001571E4"/>
    <w:rsid w:val="0015772D"/>
    <w:rsid w:val="0015798E"/>
    <w:rsid w:val="00157AC9"/>
    <w:rsid w:val="0016107E"/>
    <w:rsid w:val="00161B68"/>
    <w:rsid w:val="00161D94"/>
    <w:rsid w:val="00162057"/>
    <w:rsid w:val="00162A06"/>
    <w:rsid w:val="0016335F"/>
    <w:rsid w:val="00163EF6"/>
    <w:rsid w:val="0016403B"/>
    <w:rsid w:val="001643B0"/>
    <w:rsid w:val="00164C3E"/>
    <w:rsid w:val="001652E4"/>
    <w:rsid w:val="001659C1"/>
    <w:rsid w:val="00165D05"/>
    <w:rsid w:val="00165E23"/>
    <w:rsid w:val="00166620"/>
    <w:rsid w:val="00166938"/>
    <w:rsid w:val="00166A10"/>
    <w:rsid w:val="00166E50"/>
    <w:rsid w:val="00167953"/>
    <w:rsid w:val="0017004E"/>
    <w:rsid w:val="001703D1"/>
    <w:rsid w:val="00170A19"/>
    <w:rsid w:val="001714B7"/>
    <w:rsid w:val="00171965"/>
    <w:rsid w:val="0017258C"/>
    <w:rsid w:val="0017260F"/>
    <w:rsid w:val="00173346"/>
    <w:rsid w:val="00173A8E"/>
    <w:rsid w:val="00173BAD"/>
    <w:rsid w:val="00174E56"/>
    <w:rsid w:val="0017502C"/>
    <w:rsid w:val="00176017"/>
    <w:rsid w:val="00176360"/>
    <w:rsid w:val="00176679"/>
    <w:rsid w:val="001777DD"/>
    <w:rsid w:val="0018143F"/>
    <w:rsid w:val="00181774"/>
    <w:rsid w:val="00181FF8"/>
    <w:rsid w:val="00182165"/>
    <w:rsid w:val="00182268"/>
    <w:rsid w:val="00182504"/>
    <w:rsid w:val="0018306C"/>
    <w:rsid w:val="00183207"/>
    <w:rsid w:val="00183469"/>
    <w:rsid w:val="00183BDF"/>
    <w:rsid w:val="00183FB8"/>
    <w:rsid w:val="001848AC"/>
    <w:rsid w:val="00187357"/>
    <w:rsid w:val="001873B0"/>
    <w:rsid w:val="00187600"/>
    <w:rsid w:val="00187AB9"/>
    <w:rsid w:val="00190AC1"/>
    <w:rsid w:val="00190C4A"/>
    <w:rsid w:val="00191229"/>
    <w:rsid w:val="00191233"/>
    <w:rsid w:val="001915B1"/>
    <w:rsid w:val="00192636"/>
    <w:rsid w:val="00192C5C"/>
    <w:rsid w:val="001930AA"/>
    <w:rsid w:val="00193377"/>
    <w:rsid w:val="0019341A"/>
    <w:rsid w:val="00193674"/>
    <w:rsid w:val="00193CD4"/>
    <w:rsid w:val="00194518"/>
    <w:rsid w:val="001947F6"/>
    <w:rsid w:val="00195DD3"/>
    <w:rsid w:val="001962B9"/>
    <w:rsid w:val="00196799"/>
    <w:rsid w:val="001969B8"/>
    <w:rsid w:val="00197897"/>
    <w:rsid w:val="00197DF9"/>
    <w:rsid w:val="001A11EA"/>
    <w:rsid w:val="001A1203"/>
    <w:rsid w:val="001A16A2"/>
    <w:rsid w:val="001A17A0"/>
    <w:rsid w:val="001A1987"/>
    <w:rsid w:val="001A1CCC"/>
    <w:rsid w:val="001A1E5E"/>
    <w:rsid w:val="001A2564"/>
    <w:rsid w:val="001A3B53"/>
    <w:rsid w:val="001A40F0"/>
    <w:rsid w:val="001A4874"/>
    <w:rsid w:val="001A4B5E"/>
    <w:rsid w:val="001A4CD5"/>
    <w:rsid w:val="001A4EFF"/>
    <w:rsid w:val="001A6173"/>
    <w:rsid w:val="001A63FB"/>
    <w:rsid w:val="001A65C5"/>
    <w:rsid w:val="001A6874"/>
    <w:rsid w:val="001A6CBA"/>
    <w:rsid w:val="001A6D68"/>
    <w:rsid w:val="001A7375"/>
    <w:rsid w:val="001B0577"/>
    <w:rsid w:val="001B0D97"/>
    <w:rsid w:val="001B126E"/>
    <w:rsid w:val="001B2E1A"/>
    <w:rsid w:val="001B2F7D"/>
    <w:rsid w:val="001B3600"/>
    <w:rsid w:val="001B3C4C"/>
    <w:rsid w:val="001B4880"/>
    <w:rsid w:val="001B54B6"/>
    <w:rsid w:val="001B5857"/>
    <w:rsid w:val="001B5A5D"/>
    <w:rsid w:val="001B6DB4"/>
    <w:rsid w:val="001B6F45"/>
    <w:rsid w:val="001B6FED"/>
    <w:rsid w:val="001B75EA"/>
    <w:rsid w:val="001B7CC7"/>
    <w:rsid w:val="001C1CE5"/>
    <w:rsid w:val="001C20A9"/>
    <w:rsid w:val="001C2B5D"/>
    <w:rsid w:val="001C2D8D"/>
    <w:rsid w:val="001C3029"/>
    <w:rsid w:val="001C3287"/>
    <w:rsid w:val="001C36D8"/>
    <w:rsid w:val="001C3D2A"/>
    <w:rsid w:val="001C50EE"/>
    <w:rsid w:val="001C7080"/>
    <w:rsid w:val="001C7B24"/>
    <w:rsid w:val="001C7C26"/>
    <w:rsid w:val="001D06C9"/>
    <w:rsid w:val="001D0BF5"/>
    <w:rsid w:val="001D12CE"/>
    <w:rsid w:val="001D1C24"/>
    <w:rsid w:val="001D1F96"/>
    <w:rsid w:val="001D2235"/>
    <w:rsid w:val="001D2C14"/>
    <w:rsid w:val="001D2C9C"/>
    <w:rsid w:val="001D351D"/>
    <w:rsid w:val="001D4836"/>
    <w:rsid w:val="001D49CA"/>
    <w:rsid w:val="001D51BA"/>
    <w:rsid w:val="001D51E9"/>
    <w:rsid w:val="001D53E7"/>
    <w:rsid w:val="001D5EBF"/>
    <w:rsid w:val="001D6342"/>
    <w:rsid w:val="001D6C5F"/>
    <w:rsid w:val="001D6D53"/>
    <w:rsid w:val="001D79BB"/>
    <w:rsid w:val="001E0763"/>
    <w:rsid w:val="001E0F22"/>
    <w:rsid w:val="001E19A3"/>
    <w:rsid w:val="001E203B"/>
    <w:rsid w:val="001E338D"/>
    <w:rsid w:val="001E39D9"/>
    <w:rsid w:val="001E4A1D"/>
    <w:rsid w:val="001E4E41"/>
    <w:rsid w:val="001E58E2"/>
    <w:rsid w:val="001E67B6"/>
    <w:rsid w:val="001E6A0C"/>
    <w:rsid w:val="001E6C37"/>
    <w:rsid w:val="001E7AED"/>
    <w:rsid w:val="001F0D5D"/>
    <w:rsid w:val="001F15B3"/>
    <w:rsid w:val="001F1930"/>
    <w:rsid w:val="001F205F"/>
    <w:rsid w:val="001F20A4"/>
    <w:rsid w:val="001F2207"/>
    <w:rsid w:val="001F265C"/>
    <w:rsid w:val="001F3361"/>
    <w:rsid w:val="001F337A"/>
    <w:rsid w:val="001F37E5"/>
    <w:rsid w:val="001F3916"/>
    <w:rsid w:val="001F4807"/>
    <w:rsid w:val="001F48E9"/>
    <w:rsid w:val="001F4F42"/>
    <w:rsid w:val="001F54C5"/>
    <w:rsid w:val="001F560B"/>
    <w:rsid w:val="001F57A7"/>
    <w:rsid w:val="001F662C"/>
    <w:rsid w:val="001F68FB"/>
    <w:rsid w:val="001F6DA7"/>
    <w:rsid w:val="001F6E47"/>
    <w:rsid w:val="001F7074"/>
    <w:rsid w:val="001F70CE"/>
    <w:rsid w:val="001F70F9"/>
    <w:rsid w:val="001F7FF1"/>
    <w:rsid w:val="00200490"/>
    <w:rsid w:val="00200B9B"/>
    <w:rsid w:val="002012A9"/>
    <w:rsid w:val="00201F3A"/>
    <w:rsid w:val="002023BD"/>
    <w:rsid w:val="00202436"/>
    <w:rsid w:val="0020283E"/>
    <w:rsid w:val="00203293"/>
    <w:rsid w:val="002039FA"/>
    <w:rsid w:val="00203E0F"/>
    <w:rsid w:val="00203F96"/>
    <w:rsid w:val="002043D8"/>
    <w:rsid w:val="002048E9"/>
    <w:rsid w:val="00205126"/>
    <w:rsid w:val="0020585B"/>
    <w:rsid w:val="002065A3"/>
    <w:rsid w:val="002069B2"/>
    <w:rsid w:val="00207502"/>
    <w:rsid w:val="002079AB"/>
    <w:rsid w:val="00207CF4"/>
    <w:rsid w:val="00207FA3"/>
    <w:rsid w:val="00210699"/>
    <w:rsid w:val="0021094D"/>
    <w:rsid w:val="00210C71"/>
    <w:rsid w:val="00212085"/>
    <w:rsid w:val="002120E4"/>
    <w:rsid w:val="00212695"/>
    <w:rsid w:val="00212C05"/>
    <w:rsid w:val="002131C5"/>
    <w:rsid w:val="00213FA6"/>
    <w:rsid w:val="00214A32"/>
    <w:rsid w:val="00214DA8"/>
    <w:rsid w:val="00215423"/>
    <w:rsid w:val="002158FA"/>
    <w:rsid w:val="002159E4"/>
    <w:rsid w:val="00216207"/>
    <w:rsid w:val="00216C29"/>
    <w:rsid w:val="002178F9"/>
    <w:rsid w:val="00217B21"/>
    <w:rsid w:val="00220211"/>
    <w:rsid w:val="00220565"/>
    <w:rsid w:val="00220600"/>
    <w:rsid w:val="002206FC"/>
    <w:rsid w:val="002207DB"/>
    <w:rsid w:val="0022093D"/>
    <w:rsid w:val="00220978"/>
    <w:rsid w:val="002209B7"/>
    <w:rsid w:val="0022199A"/>
    <w:rsid w:val="00222090"/>
    <w:rsid w:val="002224DB"/>
    <w:rsid w:val="00222C29"/>
    <w:rsid w:val="00223FCB"/>
    <w:rsid w:val="00224028"/>
    <w:rsid w:val="002245CF"/>
    <w:rsid w:val="00224940"/>
    <w:rsid w:val="0022494A"/>
    <w:rsid w:val="00225012"/>
    <w:rsid w:val="002252C3"/>
    <w:rsid w:val="00225C54"/>
    <w:rsid w:val="00226209"/>
    <w:rsid w:val="0022622D"/>
    <w:rsid w:val="0022666C"/>
    <w:rsid w:val="00226F6E"/>
    <w:rsid w:val="00227384"/>
    <w:rsid w:val="002276C3"/>
    <w:rsid w:val="00227864"/>
    <w:rsid w:val="00227E43"/>
    <w:rsid w:val="0023010C"/>
    <w:rsid w:val="00230765"/>
    <w:rsid w:val="0023081C"/>
    <w:rsid w:val="00230D18"/>
    <w:rsid w:val="002318FE"/>
    <w:rsid w:val="002319E4"/>
    <w:rsid w:val="00232158"/>
    <w:rsid w:val="002330FB"/>
    <w:rsid w:val="002335ED"/>
    <w:rsid w:val="0023376B"/>
    <w:rsid w:val="00234B0F"/>
    <w:rsid w:val="00234F0D"/>
    <w:rsid w:val="0023556D"/>
    <w:rsid w:val="00235632"/>
    <w:rsid w:val="00235872"/>
    <w:rsid w:val="00235900"/>
    <w:rsid w:val="00236BA7"/>
    <w:rsid w:val="00236DF7"/>
    <w:rsid w:val="00237610"/>
    <w:rsid w:val="00237FAD"/>
    <w:rsid w:val="00240145"/>
    <w:rsid w:val="00241559"/>
    <w:rsid w:val="00241714"/>
    <w:rsid w:val="00241AAD"/>
    <w:rsid w:val="0024258C"/>
    <w:rsid w:val="00242ADC"/>
    <w:rsid w:val="00242B2B"/>
    <w:rsid w:val="002435B3"/>
    <w:rsid w:val="00243902"/>
    <w:rsid w:val="00243AD7"/>
    <w:rsid w:val="00244005"/>
    <w:rsid w:val="00244EB8"/>
    <w:rsid w:val="00244F02"/>
    <w:rsid w:val="002458EB"/>
    <w:rsid w:val="00245D47"/>
    <w:rsid w:val="00245EA0"/>
    <w:rsid w:val="00247707"/>
    <w:rsid w:val="00247B47"/>
    <w:rsid w:val="00247BC7"/>
    <w:rsid w:val="002500C8"/>
    <w:rsid w:val="0025012C"/>
    <w:rsid w:val="002504AC"/>
    <w:rsid w:val="00250AD9"/>
    <w:rsid w:val="00251F0C"/>
    <w:rsid w:val="00252FDB"/>
    <w:rsid w:val="0025318D"/>
    <w:rsid w:val="0025322D"/>
    <w:rsid w:val="00253A04"/>
    <w:rsid w:val="00254139"/>
    <w:rsid w:val="002551A6"/>
    <w:rsid w:val="0025592E"/>
    <w:rsid w:val="00255ABA"/>
    <w:rsid w:val="0025740F"/>
    <w:rsid w:val="00257543"/>
    <w:rsid w:val="002578B0"/>
    <w:rsid w:val="002601B1"/>
    <w:rsid w:val="002604BA"/>
    <w:rsid w:val="002617E7"/>
    <w:rsid w:val="0026296E"/>
    <w:rsid w:val="0026324A"/>
    <w:rsid w:val="00263384"/>
    <w:rsid w:val="00263CBC"/>
    <w:rsid w:val="00264228"/>
    <w:rsid w:val="00264334"/>
    <w:rsid w:val="00264389"/>
    <w:rsid w:val="00264521"/>
    <w:rsid w:val="0026473E"/>
    <w:rsid w:val="00265329"/>
    <w:rsid w:val="00265491"/>
    <w:rsid w:val="00265E33"/>
    <w:rsid w:val="002660C6"/>
    <w:rsid w:val="00266187"/>
    <w:rsid w:val="00266214"/>
    <w:rsid w:val="00266334"/>
    <w:rsid w:val="00266419"/>
    <w:rsid w:val="00266C82"/>
    <w:rsid w:val="002677E1"/>
    <w:rsid w:val="00267C83"/>
    <w:rsid w:val="00270DEA"/>
    <w:rsid w:val="00271279"/>
    <w:rsid w:val="0027144F"/>
    <w:rsid w:val="00271813"/>
    <w:rsid w:val="00271B54"/>
    <w:rsid w:val="00271F3A"/>
    <w:rsid w:val="00272066"/>
    <w:rsid w:val="00273278"/>
    <w:rsid w:val="002736A0"/>
    <w:rsid w:val="002737F4"/>
    <w:rsid w:val="00273F6A"/>
    <w:rsid w:val="0027414E"/>
    <w:rsid w:val="0027459C"/>
    <w:rsid w:val="00275498"/>
    <w:rsid w:val="00275B89"/>
    <w:rsid w:val="00276EC4"/>
    <w:rsid w:val="00277899"/>
    <w:rsid w:val="00277F2F"/>
    <w:rsid w:val="002801D8"/>
    <w:rsid w:val="002805F5"/>
    <w:rsid w:val="00280751"/>
    <w:rsid w:val="00280C92"/>
    <w:rsid w:val="00280E32"/>
    <w:rsid w:val="00280F19"/>
    <w:rsid w:val="00281E61"/>
    <w:rsid w:val="00281FAF"/>
    <w:rsid w:val="00282790"/>
    <w:rsid w:val="0028280A"/>
    <w:rsid w:val="00282A4A"/>
    <w:rsid w:val="00282F99"/>
    <w:rsid w:val="002831B0"/>
    <w:rsid w:val="00283D6C"/>
    <w:rsid w:val="00284C9D"/>
    <w:rsid w:val="00285351"/>
    <w:rsid w:val="00285C49"/>
    <w:rsid w:val="00285C68"/>
    <w:rsid w:val="00286238"/>
    <w:rsid w:val="002868AD"/>
    <w:rsid w:val="00286947"/>
    <w:rsid w:val="00286ACD"/>
    <w:rsid w:val="00286EEE"/>
    <w:rsid w:val="00287838"/>
    <w:rsid w:val="002907B5"/>
    <w:rsid w:val="002910D1"/>
    <w:rsid w:val="00292164"/>
    <w:rsid w:val="0029256E"/>
    <w:rsid w:val="00292CDC"/>
    <w:rsid w:val="00292E73"/>
    <w:rsid w:val="00292EB7"/>
    <w:rsid w:val="00293DB8"/>
    <w:rsid w:val="00294522"/>
    <w:rsid w:val="00294B5D"/>
    <w:rsid w:val="00294CD4"/>
    <w:rsid w:val="0029504E"/>
    <w:rsid w:val="002951EE"/>
    <w:rsid w:val="00295C68"/>
    <w:rsid w:val="00296227"/>
    <w:rsid w:val="00296F44"/>
    <w:rsid w:val="0029777D"/>
    <w:rsid w:val="00297CC1"/>
    <w:rsid w:val="002A055E"/>
    <w:rsid w:val="002A0CA6"/>
    <w:rsid w:val="002A19C0"/>
    <w:rsid w:val="002A1D4E"/>
    <w:rsid w:val="002A263C"/>
    <w:rsid w:val="002A2869"/>
    <w:rsid w:val="002A2E5C"/>
    <w:rsid w:val="002A4612"/>
    <w:rsid w:val="002A48CC"/>
    <w:rsid w:val="002A4C21"/>
    <w:rsid w:val="002A4EE1"/>
    <w:rsid w:val="002A5278"/>
    <w:rsid w:val="002A5409"/>
    <w:rsid w:val="002A5DE7"/>
    <w:rsid w:val="002A712A"/>
    <w:rsid w:val="002A75CB"/>
    <w:rsid w:val="002A774E"/>
    <w:rsid w:val="002B008A"/>
    <w:rsid w:val="002B0CF7"/>
    <w:rsid w:val="002B0E7D"/>
    <w:rsid w:val="002B122D"/>
    <w:rsid w:val="002B160B"/>
    <w:rsid w:val="002B1B3F"/>
    <w:rsid w:val="002B1EC9"/>
    <w:rsid w:val="002B24D6"/>
    <w:rsid w:val="002B32A7"/>
    <w:rsid w:val="002B341B"/>
    <w:rsid w:val="002B3EAF"/>
    <w:rsid w:val="002B5B50"/>
    <w:rsid w:val="002B621A"/>
    <w:rsid w:val="002B79F8"/>
    <w:rsid w:val="002B7FD4"/>
    <w:rsid w:val="002C0F5E"/>
    <w:rsid w:val="002C1017"/>
    <w:rsid w:val="002C179D"/>
    <w:rsid w:val="002C1DF6"/>
    <w:rsid w:val="002C1F69"/>
    <w:rsid w:val="002C310C"/>
    <w:rsid w:val="002C35E2"/>
    <w:rsid w:val="002C3A18"/>
    <w:rsid w:val="002C3A90"/>
    <w:rsid w:val="002C3D8D"/>
    <w:rsid w:val="002C3F32"/>
    <w:rsid w:val="002C41E6"/>
    <w:rsid w:val="002C42BF"/>
    <w:rsid w:val="002C4888"/>
    <w:rsid w:val="002C4A18"/>
    <w:rsid w:val="002C4AE3"/>
    <w:rsid w:val="002C4C7E"/>
    <w:rsid w:val="002C57E9"/>
    <w:rsid w:val="002C58A1"/>
    <w:rsid w:val="002C6429"/>
    <w:rsid w:val="002C651E"/>
    <w:rsid w:val="002C6F96"/>
    <w:rsid w:val="002C7E3F"/>
    <w:rsid w:val="002D071A"/>
    <w:rsid w:val="002D09DC"/>
    <w:rsid w:val="002D0F67"/>
    <w:rsid w:val="002D10F9"/>
    <w:rsid w:val="002D10FB"/>
    <w:rsid w:val="002D1A3D"/>
    <w:rsid w:val="002D1BFA"/>
    <w:rsid w:val="002D26AE"/>
    <w:rsid w:val="002D2CC9"/>
    <w:rsid w:val="002D34B2"/>
    <w:rsid w:val="002D42B2"/>
    <w:rsid w:val="002D48B0"/>
    <w:rsid w:val="002D5B37"/>
    <w:rsid w:val="002D611B"/>
    <w:rsid w:val="002D62B3"/>
    <w:rsid w:val="002D72AA"/>
    <w:rsid w:val="002D7637"/>
    <w:rsid w:val="002E07CF"/>
    <w:rsid w:val="002E0B5F"/>
    <w:rsid w:val="002E123C"/>
    <w:rsid w:val="002E17F2"/>
    <w:rsid w:val="002E1FDF"/>
    <w:rsid w:val="002E3CFF"/>
    <w:rsid w:val="002E59D9"/>
    <w:rsid w:val="002E5C20"/>
    <w:rsid w:val="002E65DF"/>
    <w:rsid w:val="002E6E55"/>
    <w:rsid w:val="002E708F"/>
    <w:rsid w:val="002E7CAE"/>
    <w:rsid w:val="002F0AF7"/>
    <w:rsid w:val="002F1802"/>
    <w:rsid w:val="002F1A75"/>
    <w:rsid w:val="002F251C"/>
    <w:rsid w:val="002F2762"/>
    <w:rsid w:val="002F2771"/>
    <w:rsid w:val="002F37A9"/>
    <w:rsid w:val="002F382D"/>
    <w:rsid w:val="002F3A9F"/>
    <w:rsid w:val="002F3D21"/>
    <w:rsid w:val="002F5880"/>
    <w:rsid w:val="002F5DB5"/>
    <w:rsid w:val="002F6383"/>
    <w:rsid w:val="002F6CD0"/>
    <w:rsid w:val="002F7482"/>
    <w:rsid w:val="002F7932"/>
    <w:rsid w:val="002F7C2E"/>
    <w:rsid w:val="00300AEB"/>
    <w:rsid w:val="00301CE6"/>
    <w:rsid w:val="0030256B"/>
    <w:rsid w:val="00304430"/>
    <w:rsid w:val="003048AE"/>
    <w:rsid w:val="00304B2A"/>
    <w:rsid w:val="00304BA5"/>
    <w:rsid w:val="0030501F"/>
    <w:rsid w:val="00305932"/>
    <w:rsid w:val="003068B0"/>
    <w:rsid w:val="00307BA1"/>
    <w:rsid w:val="00307BDC"/>
    <w:rsid w:val="00310C9D"/>
    <w:rsid w:val="00310CA4"/>
    <w:rsid w:val="00310EDB"/>
    <w:rsid w:val="003111AF"/>
    <w:rsid w:val="003111F5"/>
    <w:rsid w:val="0031143C"/>
    <w:rsid w:val="00311702"/>
    <w:rsid w:val="00311E82"/>
    <w:rsid w:val="00311F66"/>
    <w:rsid w:val="00312ACD"/>
    <w:rsid w:val="00312D7F"/>
    <w:rsid w:val="003131A5"/>
    <w:rsid w:val="003137D0"/>
    <w:rsid w:val="00313924"/>
    <w:rsid w:val="00313AA3"/>
    <w:rsid w:val="00313B69"/>
    <w:rsid w:val="00313FD6"/>
    <w:rsid w:val="003143BD"/>
    <w:rsid w:val="00314D02"/>
    <w:rsid w:val="00314D6C"/>
    <w:rsid w:val="00314E43"/>
    <w:rsid w:val="00315363"/>
    <w:rsid w:val="003153CD"/>
    <w:rsid w:val="00315F44"/>
    <w:rsid w:val="00316A14"/>
    <w:rsid w:val="003178AC"/>
    <w:rsid w:val="00317F2F"/>
    <w:rsid w:val="003203ED"/>
    <w:rsid w:val="003211E8"/>
    <w:rsid w:val="003212B1"/>
    <w:rsid w:val="00321AA3"/>
    <w:rsid w:val="00321C6E"/>
    <w:rsid w:val="0032205A"/>
    <w:rsid w:val="00322C9F"/>
    <w:rsid w:val="00324D23"/>
    <w:rsid w:val="00325A69"/>
    <w:rsid w:val="003269D4"/>
    <w:rsid w:val="00326BCD"/>
    <w:rsid w:val="0032741A"/>
    <w:rsid w:val="00327FD1"/>
    <w:rsid w:val="00330201"/>
    <w:rsid w:val="00330810"/>
    <w:rsid w:val="00331751"/>
    <w:rsid w:val="003323C0"/>
    <w:rsid w:val="003324BE"/>
    <w:rsid w:val="003336F7"/>
    <w:rsid w:val="0033437C"/>
    <w:rsid w:val="00334579"/>
    <w:rsid w:val="003345A0"/>
    <w:rsid w:val="00334A85"/>
    <w:rsid w:val="00335266"/>
    <w:rsid w:val="00335858"/>
    <w:rsid w:val="00335C83"/>
    <w:rsid w:val="00336BDA"/>
    <w:rsid w:val="00336F93"/>
    <w:rsid w:val="003370CD"/>
    <w:rsid w:val="0033721F"/>
    <w:rsid w:val="00337676"/>
    <w:rsid w:val="00337736"/>
    <w:rsid w:val="00337958"/>
    <w:rsid w:val="00340A3A"/>
    <w:rsid w:val="00340AB4"/>
    <w:rsid w:val="00340F7C"/>
    <w:rsid w:val="00341187"/>
    <w:rsid w:val="00341B12"/>
    <w:rsid w:val="003428E9"/>
    <w:rsid w:val="00342BD7"/>
    <w:rsid w:val="003433A7"/>
    <w:rsid w:val="003437DC"/>
    <w:rsid w:val="003439B6"/>
    <w:rsid w:val="00343D4B"/>
    <w:rsid w:val="003442B5"/>
    <w:rsid w:val="0034456F"/>
    <w:rsid w:val="003448C6"/>
    <w:rsid w:val="00345E78"/>
    <w:rsid w:val="00346621"/>
    <w:rsid w:val="003468FA"/>
    <w:rsid w:val="00346C7F"/>
    <w:rsid w:val="00346DB5"/>
    <w:rsid w:val="003471AA"/>
    <w:rsid w:val="003476B0"/>
    <w:rsid w:val="003477B1"/>
    <w:rsid w:val="003504DC"/>
    <w:rsid w:val="0035064C"/>
    <w:rsid w:val="003507E4"/>
    <w:rsid w:val="00350EC8"/>
    <w:rsid w:val="0035101F"/>
    <w:rsid w:val="00351561"/>
    <w:rsid w:val="00351914"/>
    <w:rsid w:val="003525EC"/>
    <w:rsid w:val="003544B2"/>
    <w:rsid w:val="00354B73"/>
    <w:rsid w:val="00354C80"/>
    <w:rsid w:val="00355787"/>
    <w:rsid w:val="003557CF"/>
    <w:rsid w:val="003557D7"/>
    <w:rsid w:val="00356014"/>
    <w:rsid w:val="003565F5"/>
    <w:rsid w:val="00356C52"/>
    <w:rsid w:val="00357380"/>
    <w:rsid w:val="003602D9"/>
    <w:rsid w:val="003604CE"/>
    <w:rsid w:val="00360869"/>
    <w:rsid w:val="00361EA5"/>
    <w:rsid w:val="00362146"/>
    <w:rsid w:val="00362930"/>
    <w:rsid w:val="00363071"/>
    <w:rsid w:val="00363674"/>
    <w:rsid w:val="00363962"/>
    <w:rsid w:val="00363F7A"/>
    <w:rsid w:val="00363F96"/>
    <w:rsid w:val="003640D9"/>
    <w:rsid w:val="00364C2C"/>
    <w:rsid w:val="003656C9"/>
    <w:rsid w:val="003663B3"/>
    <w:rsid w:val="00366698"/>
    <w:rsid w:val="00366727"/>
    <w:rsid w:val="00366FC9"/>
    <w:rsid w:val="00367632"/>
    <w:rsid w:val="0036776E"/>
    <w:rsid w:val="00367BD6"/>
    <w:rsid w:val="003700AF"/>
    <w:rsid w:val="00370196"/>
    <w:rsid w:val="00370E47"/>
    <w:rsid w:val="00371E3E"/>
    <w:rsid w:val="00371EA1"/>
    <w:rsid w:val="00373224"/>
    <w:rsid w:val="003738D8"/>
    <w:rsid w:val="00373957"/>
    <w:rsid w:val="00373B5C"/>
    <w:rsid w:val="003742AC"/>
    <w:rsid w:val="00375610"/>
    <w:rsid w:val="003758C9"/>
    <w:rsid w:val="00377CE1"/>
    <w:rsid w:val="0038040D"/>
    <w:rsid w:val="00380967"/>
    <w:rsid w:val="00380E84"/>
    <w:rsid w:val="0038128F"/>
    <w:rsid w:val="0038196F"/>
    <w:rsid w:val="003821BE"/>
    <w:rsid w:val="0038233A"/>
    <w:rsid w:val="00382695"/>
    <w:rsid w:val="00382E30"/>
    <w:rsid w:val="0038356A"/>
    <w:rsid w:val="00383588"/>
    <w:rsid w:val="00384032"/>
    <w:rsid w:val="00384880"/>
    <w:rsid w:val="0038564E"/>
    <w:rsid w:val="00385BF0"/>
    <w:rsid w:val="00386639"/>
    <w:rsid w:val="00386EC1"/>
    <w:rsid w:val="003874EB"/>
    <w:rsid w:val="003901D7"/>
    <w:rsid w:val="0039057C"/>
    <w:rsid w:val="00390958"/>
    <w:rsid w:val="00390BC7"/>
    <w:rsid w:val="00391783"/>
    <w:rsid w:val="0039179A"/>
    <w:rsid w:val="00391A11"/>
    <w:rsid w:val="00391EA5"/>
    <w:rsid w:val="00392069"/>
    <w:rsid w:val="0039375A"/>
    <w:rsid w:val="003937F5"/>
    <w:rsid w:val="003939FF"/>
    <w:rsid w:val="00394830"/>
    <w:rsid w:val="003951E2"/>
    <w:rsid w:val="003958C2"/>
    <w:rsid w:val="00395AEC"/>
    <w:rsid w:val="003A2223"/>
    <w:rsid w:val="003A2382"/>
    <w:rsid w:val="003A2A0F"/>
    <w:rsid w:val="003A3DB3"/>
    <w:rsid w:val="003A43CA"/>
    <w:rsid w:val="003A45A1"/>
    <w:rsid w:val="003A58E0"/>
    <w:rsid w:val="003A5B0A"/>
    <w:rsid w:val="003A611C"/>
    <w:rsid w:val="003A6462"/>
    <w:rsid w:val="003A6BAC"/>
    <w:rsid w:val="003A6E6A"/>
    <w:rsid w:val="003A70A4"/>
    <w:rsid w:val="003A7B2D"/>
    <w:rsid w:val="003A7C01"/>
    <w:rsid w:val="003A7EF3"/>
    <w:rsid w:val="003B159C"/>
    <w:rsid w:val="003B1D35"/>
    <w:rsid w:val="003B2277"/>
    <w:rsid w:val="003B2971"/>
    <w:rsid w:val="003B2A66"/>
    <w:rsid w:val="003B2B29"/>
    <w:rsid w:val="003B369F"/>
    <w:rsid w:val="003B36A3"/>
    <w:rsid w:val="003B3CA9"/>
    <w:rsid w:val="003B4694"/>
    <w:rsid w:val="003B4A03"/>
    <w:rsid w:val="003B4A94"/>
    <w:rsid w:val="003B4E88"/>
    <w:rsid w:val="003B5051"/>
    <w:rsid w:val="003B507A"/>
    <w:rsid w:val="003B514F"/>
    <w:rsid w:val="003B51FF"/>
    <w:rsid w:val="003B5BA0"/>
    <w:rsid w:val="003B64BB"/>
    <w:rsid w:val="003B6B14"/>
    <w:rsid w:val="003B6E4A"/>
    <w:rsid w:val="003B7893"/>
    <w:rsid w:val="003B7FE5"/>
    <w:rsid w:val="003C03AF"/>
    <w:rsid w:val="003C11C8"/>
    <w:rsid w:val="003C1A57"/>
    <w:rsid w:val="003C1D40"/>
    <w:rsid w:val="003C2702"/>
    <w:rsid w:val="003C3351"/>
    <w:rsid w:val="003C3A69"/>
    <w:rsid w:val="003C4A76"/>
    <w:rsid w:val="003C552C"/>
    <w:rsid w:val="003C5C8B"/>
    <w:rsid w:val="003C5F4F"/>
    <w:rsid w:val="003C61FD"/>
    <w:rsid w:val="003C7806"/>
    <w:rsid w:val="003D0540"/>
    <w:rsid w:val="003D0804"/>
    <w:rsid w:val="003D0A64"/>
    <w:rsid w:val="003D109F"/>
    <w:rsid w:val="003D1780"/>
    <w:rsid w:val="003D1844"/>
    <w:rsid w:val="003D2478"/>
    <w:rsid w:val="003D2D5E"/>
    <w:rsid w:val="003D35DC"/>
    <w:rsid w:val="003D3671"/>
    <w:rsid w:val="003D3900"/>
    <w:rsid w:val="003D3AC3"/>
    <w:rsid w:val="003D3C45"/>
    <w:rsid w:val="003D42D6"/>
    <w:rsid w:val="003D4656"/>
    <w:rsid w:val="003D480A"/>
    <w:rsid w:val="003D5574"/>
    <w:rsid w:val="003D566A"/>
    <w:rsid w:val="003D5B1F"/>
    <w:rsid w:val="003D6441"/>
    <w:rsid w:val="003D6CE8"/>
    <w:rsid w:val="003D72CE"/>
    <w:rsid w:val="003D786A"/>
    <w:rsid w:val="003D7AF2"/>
    <w:rsid w:val="003E143A"/>
    <w:rsid w:val="003E15FA"/>
    <w:rsid w:val="003E1BC5"/>
    <w:rsid w:val="003E1CE7"/>
    <w:rsid w:val="003E290E"/>
    <w:rsid w:val="003E3AC5"/>
    <w:rsid w:val="003E418B"/>
    <w:rsid w:val="003E4DDF"/>
    <w:rsid w:val="003E5182"/>
    <w:rsid w:val="003E528B"/>
    <w:rsid w:val="003E55E4"/>
    <w:rsid w:val="003E5BA0"/>
    <w:rsid w:val="003E60D5"/>
    <w:rsid w:val="003E6111"/>
    <w:rsid w:val="003E64C9"/>
    <w:rsid w:val="003E6BCF"/>
    <w:rsid w:val="003E74E3"/>
    <w:rsid w:val="003E7882"/>
    <w:rsid w:val="003F00E9"/>
    <w:rsid w:val="003F05C7"/>
    <w:rsid w:val="003F0B08"/>
    <w:rsid w:val="003F0C03"/>
    <w:rsid w:val="003F152C"/>
    <w:rsid w:val="003F1742"/>
    <w:rsid w:val="003F228C"/>
    <w:rsid w:val="003F2A84"/>
    <w:rsid w:val="003F2B29"/>
    <w:rsid w:val="003F2CD4"/>
    <w:rsid w:val="003F37E4"/>
    <w:rsid w:val="003F55B4"/>
    <w:rsid w:val="003F5722"/>
    <w:rsid w:val="003F599A"/>
    <w:rsid w:val="003F6083"/>
    <w:rsid w:val="003F620D"/>
    <w:rsid w:val="003F6702"/>
    <w:rsid w:val="003F6962"/>
    <w:rsid w:val="003F6A90"/>
    <w:rsid w:val="003F6BBE"/>
    <w:rsid w:val="003F7598"/>
    <w:rsid w:val="003F7BFD"/>
    <w:rsid w:val="004000E8"/>
    <w:rsid w:val="00400233"/>
    <w:rsid w:val="004002B0"/>
    <w:rsid w:val="00400986"/>
    <w:rsid w:val="00400D4B"/>
    <w:rsid w:val="00400F0F"/>
    <w:rsid w:val="00401154"/>
    <w:rsid w:val="004017BF"/>
    <w:rsid w:val="00401826"/>
    <w:rsid w:val="00402B27"/>
    <w:rsid w:val="00402E2B"/>
    <w:rsid w:val="00402EC3"/>
    <w:rsid w:val="0040334C"/>
    <w:rsid w:val="00403C81"/>
    <w:rsid w:val="0040405E"/>
    <w:rsid w:val="004046A0"/>
    <w:rsid w:val="0040512B"/>
    <w:rsid w:val="004053AB"/>
    <w:rsid w:val="0040555E"/>
    <w:rsid w:val="00405A44"/>
    <w:rsid w:val="00405CA5"/>
    <w:rsid w:val="004061C5"/>
    <w:rsid w:val="00406220"/>
    <w:rsid w:val="0040727D"/>
    <w:rsid w:val="00407875"/>
    <w:rsid w:val="00407CD3"/>
    <w:rsid w:val="00410134"/>
    <w:rsid w:val="0041049A"/>
    <w:rsid w:val="0041054B"/>
    <w:rsid w:val="00410666"/>
    <w:rsid w:val="00410B71"/>
    <w:rsid w:val="00410B72"/>
    <w:rsid w:val="00410F18"/>
    <w:rsid w:val="00411F19"/>
    <w:rsid w:val="0041263E"/>
    <w:rsid w:val="004126C0"/>
    <w:rsid w:val="00413AAC"/>
    <w:rsid w:val="00413E92"/>
    <w:rsid w:val="004168FC"/>
    <w:rsid w:val="00416A35"/>
    <w:rsid w:val="004170F6"/>
    <w:rsid w:val="004176C8"/>
    <w:rsid w:val="00417CBB"/>
    <w:rsid w:val="004207F5"/>
    <w:rsid w:val="00421105"/>
    <w:rsid w:val="004213D2"/>
    <w:rsid w:val="0042216B"/>
    <w:rsid w:val="004223ED"/>
    <w:rsid w:val="00422AA4"/>
    <w:rsid w:val="00423212"/>
    <w:rsid w:val="004232CD"/>
    <w:rsid w:val="004233C4"/>
    <w:rsid w:val="00423A73"/>
    <w:rsid w:val="004242DF"/>
    <w:rsid w:val="004242F4"/>
    <w:rsid w:val="004252C1"/>
    <w:rsid w:val="0042555B"/>
    <w:rsid w:val="004255E6"/>
    <w:rsid w:val="00425B39"/>
    <w:rsid w:val="00426553"/>
    <w:rsid w:val="004266CB"/>
    <w:rsid w:val="00426AA1"/>
    <w:rsid w:val="00427227"/>
    <w:rsid w:val="00427248"/>
    <w:rsid w:val="004276F1"/>
    <w:rsid w:val="004303EE"/>
    <w:rsid w:val="004306CA"/>
    <w:rsid w:val="0043074E"/>
    <w:rsid w:val="004314DE"/>
    <w:rsid w:val="00431AC5"/>
    <w:rsid w:val="0043204D"/>
    <w:rsid w:val="004324B2"/>
    <w:rsid w:val="00432833"/>
    <w:rsid w:val="0043415D"/>
    <w:rsid w:val="00434459"/>
    <w:rsid w:val="00437052"/>
    <w:rsid w:val="004370A8"/>
    <w:rsid w:val="00437219"/>
    <w:rsid w:val="00437447"/>
    <w:rsid w:val="00437515"/>
    <w:rsid w:val="0043760F"/>
    <w:rsid w:val="004408B2"/>
    <w:rsid w:val="00440D7E"/>
    <w:rsid w:val="00440E80"/>
    <w:rsid w:val="004411FB"/>
    <w:rsid w:val="00441A92"/>
    <w:rsid w:val="00442A04"/>
    <w:rsid w:val="00442AAC"/>
    <w:rsid w:val="004431DC"/>
    <w:rsid w:val="00444032"/>
    <w:rsid w:val="00444F56"/>
    <w:rsid w:val="00445A14"/>
    <w:rsid w:val="00445B97"/>
    <w:rsid w:val="00446488"/>
    <w:rsid w:val="004466D8"/>
    <w:rsid w:val="00447772"/>
    <w:rsid w:val="00450E48"/>
    <w:rsid w:val="00450EFF"/>
    <w:rsid w:val="0045111D"/>
    <w:rsid w:val="004517AA"/>
    <w:rsid w:val="00452259"/>
    <w:rsid w:val="00452CAC"/>
    <w:rsid w:val="00452D13"/>
    <w:rsid w:val="004538A3"/>
    <w:rsid w:val="00453D5F"/>
    <w:rsid w:val="00453DF3"/>
    <w:rsid w:val="004555BF"/>
    <w:rsid w:val="00455A8F"/>
    <w:rsid w:val="00455AC2"/>
    <w:rsid w:val="00455EF2"/>
    <w:rsid w:val="00455F00"/>
    <w:rsid w:val="0045711D"/>
    <w:rsid w:val="00457565"/>
    <w:rsid w:val="00457B71"/>
    <w:rsid w:val="00457D22"/>
    <w:rsid w:val="004607CB"/>
    <w:rsid w:val="00460888"/>
    <w:rsid w:val="004608D9"/>
    <w:rsid w:val="00460A88"/>
    <w:rsid w:val="004617F5"/>
    <w:rsid w:val="00462A55"/>
    <w:rsid w:val="0046360C"/>
    <w:rsid w:val="00463827"/>
    <w:rsid w:val="00463F6D"/>
    <w:rsid w:val="004640EA"/>
    <w:rsid w:val="00464750"/>
    <w:rsid w:val="00464CEB"/>
    <w:rsid w:val="00464D96"/>
    <w:rsid w:val="00464F12"/>
    <w:rsid w:val="00466083"/>
    <w:rsid w:val="004663A6"/>
    <w:rsid w:val="004669E2"/>
    <w:rsid w:val="00466C30"/>
    <w:rsid w:val="0046707F"/>
    <w:rsid w:val="004704AA"/>
    <w:rsid w:val="00470741"/>
    <w:rsid w:val="00470C31"/>
    <w:rsid w:val="00471552"/>
    <w:rsid w:val="004716A7"/>
    <w:rsid w:val="0047177B"/>
    <w:rsid w:val="00471DE0"/>
    <w:rsid w:val="0047321C"/>
    <w:rsid w:val="004732EB"/>
    <w:rsid w:val="00473472"/>
    <w:rsid w:val="004734D0"/>
    <w:rsid w:val="00473830"/>
    <w:rsid w:val="00473B2D"/>
    <w:rsid w:val="00474EE4"/>
    <w:rsid w:val="0047556B"/>
    <w:rsid w:val="00475E02"/>
    <w:rsid w:val="00475F94"/>
    <w:rsid w:val="00477545"/>
    <w:rsid w:val="0047768C"/>
    <w:rsid w:val="00477768"/>
    <w:rsid w:val="00480C6E"/>
    <w:rsid w:val="00481463"/>
    <w:rsid w:val="00483266"/>
    <w:rsid w:val="0048380D"/>
    <w:rsid w:val="004848F5"/>
    <w:rsid w:val="00484971"/>
    <w:rsid w:val="00484EA6"/>
    <w:rsid w:val="00484F6A"/>
    <w:rsid w:val="004865D1"/>
    <w:rsid w:val="00486F84"/>
    <w:rsid w:val="004873D5"/>
    <w:rsid w:val="00487692"/>
    <w:rsid w:val="00490267"/>
    <w:rsid w:val="0049091F"/>
    <w:rsid w:val="004909BE"/>
    <w:rsid w:val="00491948"/>
    <w:rsid w:val="00492BC5"/>
    <w:rsid w:val="00494378"/>
    <w:rsid w:val="00494F90"/>
    <w:rsid w:val="00495304"/>
    <w:rsid w:val="00495BF0"/>
    <w:rsid w:val="00495DAB"/>
    <w:rsid w:val="00495E56"/>
    <w:rsid w:val="00495F16"/>
    <w:rsid w:val="004962FF"/>
    <w:rsid w:val="00496378"/>
    <w:rsid w:val="004964F1"/>
    <w:rsid w:val="00496F76"/>
    <w:rsid w:val="00497506"/>
    <w:rsid w:val="004975BF"/>
    <w:rsid w:val="004977A3"/>
    <w:rsid w:val="004A035A"/>
    <w:rsid w:val="004A0EA8"/>
    <w:rsid w:val="004A1118"/>
    <w:rsid w:val="004A1341"/>
    <w:rsid w:val="004A16BC"/>
    <w:rsid w:val="004A2687"/>
    <w:rsid w:val="004A2B94"/>
    <w:rsid w:val="004A2BF5"/>
    <w:rsid w:val="004A2D9D"/>
    <w:rsid w:val="004A33D2"/>
    <w:rsid w:val="004A34E6"/>
    <w:rsid w:val="004A391D"/>
    <w:rsid w:val="004A405B"/>
    <w:rsid w:val="004A564A"/>
    <w:rsid w:val="004A61EC"/>
    <w:rsid w:val="004A7047"/>
    <w:rsid w:val="004A7082"/>
    <w:rsid w:val="004A7133"/>
    <w:rsid w:val="004A749D"/>
    <w:rsid w:val="004A7E2A"/>
    <w:rsid w:val="004A7F1E"/>
    <w:rsid w:val="004B236F"/>
    <w:rsid w:val="004B2439"/>
    <w:rsid w:val="004B2457"/>
    <w:rsid w:val="004B3DDD"/>
    <w:rsid w:val="004B414F"/>
    <w:rsid w:val="004B5755"/>
    <w:rsid w:val="004B5E73"/>
    <w:rsid w:val="004B5E82"/>
    <w:rsid w:val="004B5E8B"/>
    <w:rsid w:val="004B66E4"/>
    <w:rsid w:val="004B66F9"/>
    <w:rsid w:val="004B6D86"/>
    <w:rsid w:val="004B6EA4"/>
    <w:rsid w:val="004B6F6A"/>
    <w:rsid w:val="004B7990"/>
    <w:rsid w:val="004B7C0C"/>
    <w:rsid w:val="004B7C22"/>
    <w:rsid w:val="004B7EF3"/>
    <w:rsid w:val="004C0224"/>
    <w:rsid w:val="004C04CE"/>
    <w:rsid w:val="004C248A"/>
    <w:rsid w:val="004C2B1A"/>
    <w:rsid w:val="004C344D"/>
    <w:rsid w:val="004C3763"/>
    <w:rsid w:val="004C3851"/>
    <w:rsid w:val="004C3898"/>
    <w:rsid w:val="004C4786"/>
    <w:rsid w:val="004C4ABD"/>
    <w:rsid w:val="004C4AD7"/>
    <w:rsid w:val="004C53C4"/>
    <w:rsid w:val="004C5ECE"/>
    <w:rsid w:val="004C67BF"/>
    <w:rsid w:val="004C71DC"/>
    <w:rsid w:val="004C7828"/>
    <w:rsid w:val="004D0FBC"/>
    <w:rsid w:val="004D1423"/>
    <w:rsid w:val="004D147D"/>
    <w:rsid w:val="004D1C66"/>
    <w:rsid w:val="004D2085"/>
    <w:rsid w:val="004D36B1"/>
    <w:rsid w:val="004D3A76"/>
    <w:rsid w:val="004D3D00"/>
    <w:rsid w:val="004D4916"/>
    <w:rsid w:val="004D4DA8"/>
    <w:rsid w:val="004D5007"/>
    <w:rsid w:val="004D543C"/>
    <w:rsid w:val="004D5AAF"/>
    <w:rsid w:val="004D6035"/>
    <w:rsid w:val="004D639D"/>
    <w:rsid w:val="004D66C0"/>
    <w:rsid w:val="004D6AE9"/>
    <w:rsid w:val="004D7270"/>
    <w:rsid w:val="004D741D"/>
    <w:rsid w:val="004D7513"/>
    <w:rsid w:val="004D7DED"/>
    <w:rsid w:val="004D7EBD"/>
    <w:rsid w:val="004E09F1"/>
    <w:rsid w:val="004E13BE"/>
    <w:rsid w:val="004E1859"/>
    <w:rsid w:val="004E1ADE"/>
    <w:rsid w:val="004E1ED1"/>
    <w:rsid w:val="004E25E8"/>
    <w:rsid w:val="004E2680"/>
    <w:rsid w:val="004E26F4"/>
    <w:rsid w:val="004E28F9"/>
    <w:rsid w:val="004E2BED"/>
    <w:rsid w:val="004E2EA9"/>
    <w:rsid w:val="004E34BA"/>
    <w:rsid w:val="004E3861"/>
    <w:rsid w:val="004E3C5D"/>
    <w:rsid w:val="004E4614"/>
    <w:rsid w:val="004E462E"/>
    <w:rsid w:val="004E493F"/>
    <w:rsid w:val="004E5411"/>
    <w:rsid w:val="004E54DD"/>
    <w:rsid w:val="004E56DC"/>
    <w:rsid w:val="004E5891"/>
    <w:rsid w:val="004E5970"/>
    <w:rsid w:val="004E5A56"/>
    <w:rsid w:val="004E5A61"/>
    <w:rsid w:val="004E629F"/>
    <w:rsid w:val="004E6699"/>
    <w:rsid w:val="004E6797"/>
    <w:rsid w:val="004E6B17"/>
    <w:rsid w:val="004E6BCC"/>
    <w:rsid w:val="004E738E"/>
    <w:rsid w:val="004E76F4"/>
    <w:rsid w:val="004F02D8"/>
    <w:rsid w:val="004F056C"/>
    <w:rsid w:val="004F0875"/>
    <w:rsid w:val="004F0976"/>
    <w:rsid w:val="004F0B4E"/>
    <w:rsid w:val="004F0B6C"/>
    <w:rsid w:val="004F0BBC"/>
    <w:rsid w:val="004F0DD6"/>
    <w:rsid w:val="004F2078"/>
    <w:rsid w:val="004F20EE"/>
    <w:rsid w:val="004F3502"/>
    <w:rsid w:val="004F3EE4"/>
    <w:rsid w:val="004F4B8A"/>
    <w:rsid w:val="004F4DA3"/>
    <w:rsid w:val="004F5AD2"/>
    <w:rsid w:val="004F6950"/>
    <w:rsid w:val="004F6A24"/>
    <w:rsid w:val="004F6DD1"/>
    <w:rsid w:val="004F7637"/>
    <w:rsid w:val="00500497"/>
    <w:rsid w:val="005007AD"/>
    <w:rsid w:val="00500AE6"/>
    <w:rsid w:val="00500DB0"/>
    <w:rsid w:val="00501C48"/>
    <w:rsid w:val="00501D88"/>
    <w:rsid w:val="00502AF4"/>
    <w:rsid w:val="005032A0"/>
    <w:rsid w:val="00503BE2"/>
    <w:rsid w:val="005045F1"/>
    <w:rsid w:val="00506557"/>
    <w:rsid w:val="0050677A"/>
    <w:rsid w:val="00506D5E"/>
    <w:rsid w:val="005104FD"/>
    <w:rsid w:val="005105C3"/>
    <w:rsid w:val="005107AE"/>
    <w:rsid w:val="005108D8"/>
    <w:rsid w:val="005116F9"/>
    <w:rsid w:val="00511C8D"/>
    <w:rsid w:val="00511E34"/>
    <w:rsid w:val="005121C0"/>
    <w:rsid w:val="0051286C"/>
    <w:rsid w:val="00512B4C"/>
    <w:rsid w:val="00512C56"/>
    <w:rsid w:val="00513055"/>
    <w:rsid w:val="00513F89"/>
    <w:rsid w:val="00514000"/>
    <w:rsid w:val="00514FC3"/>
    <w:rsid w:val="00515283"/>
    <w:rsid w:val="005153A7"/>
    <w:rsid w:val="0051554C"/>
    <w:rsid w:val="00515730"/>
    <w:rsid w:val="00516343"/>
    <w:rsid w:val="005176FF"/>
    <w:rsid w:val="00517DDF"/>
    <w:rsid w:val="00520438"/>
    <w:rsid w:val="00521061"/>
    <w:rsid w:val="005219CF"/>
    <w:rsid w:val="00521A31"/>
    <w:rsid w:val="00522315"/>
    <w:rsid w:val="00522EDF"/>
    <w:rsid w:val="00523012"/>
    <w:rsid w:val="005235E3"/>
    <w:rsid w:val="0052362D"/>
    <w:rsid w:val="00523935"/>
    <w:rsid w:val="00523AA1"/>
    <w:rsid w:val="00524662"/>
    <w:rsid w:val="005249C3"/>
    <w:rsid w:val="0052547E"/>
    <w:rsid w:val="00526622"/>
    <w:rsid w:val="00527075"/>
    <w:rsid w:val="0052727C"/>
    <w:rsid w:val="00527778"/>
    <w:rsid w:val="00527CB2"/>
    <w:rsid w:val="00530465"/>
    <w:rsid w:val="00530C6F"/>
    <w:rsid w:val="00531670"/>
    <w:rsid w:val="005316CD"/>
    <w:rsid w:val="00531C43"/>
    <w:rsid w:val="00531FD6"/>
    <w:rsid w:val="00533036"/>
    <w:rsid w:val="00533983"/>
    <w:rsid w:val="0053403D"/>
    <w:rsid w:val="005345A3"/>
    <w:rsid w:val="005345FE"/>
    <w:rsid w:val="005349A6"/>
    <w:rsid w:val="00534B59"/>
    <w:rsid w:val="00535047"/>
    <w:rsid w:val="0053565C"/>
    <w:rsid w:val="005359FC"/>
    <w:rsid w:val="00535C79"/>
    <w:rsid w:val="005360B3"/>
    <w:rsid w:val="00536759"/>
    <w:rsid w:val="005375F0"/>
    <w:rsid w:val="0053792E"/>
    <w:rsid w:val="00537C60"/>
    <w:rsid w:val="00537C62"/>
    <w:rsid w:val="00537C9E"/>
    <w:rsid w:val="00540C55"/>
    <w:rsid w:val="005412C2"/>
    <w:rsid w:val="00542D13"/>
    <w:rsid w:val="00542D8A"/>
    <w:rsid w:val="00543084"/>
    <w:rsid w:val="00543F0B"/>
    <w:rsid w:val="00545A46"/>
    <w:rsid w:val="00546581"/>
    <w:rsid w:val="00546970"/>
    <w:rsid w:val="0055002F"/>
    <w:rsid w:val="00550081"/>
    <w:rsid w:val="00550C47"/>
    <w:rsid w:val="00551A3E"/>
    <w:rsid w:val="00551BFF"/>
    <w:rsid w:val="005524BF"/>
    <w:rsid w:val="0055255F"/>
    <w:rsid w:val="00552686"/>
    <w:rsid w:val="00554E19"/>
    <w:rsid w:val="00554EB8"/>
    <w:rsid w:val="00555790"/>
    <w:rsid w:val="0055585E"/>
    <w:rsid w:val="00557B39"/>
    <w:rsid w:val="00557E86"/>
    <w:rsid w:val="00560954"/>
    <w:rsid w:val="00560EF8"/>
    <w:rsid w:val="0056121F"/>
    <w:rsid w:val="00561A5B"/>
    <w:rsid w:val="00561B30"/>
    <w:rsid w:val="005624DD"/>
    <w:rsid w:val="005630FD"/>
    <w:rsid w:val="005636F6"/>
    <w:rsid w:val="00563EBF"/>
    <w:rsid w:val="00563F6E"/>
    <w:rsid w:val="00564569"/>
    <w:rsid w:val="0056585E"/>
    <w:rsid w:val="00566593"/>
    <w:rsid w:val="0056690A"/>
    <w:rsid w:val="00566938"/>
    <w:rsid w:val="0056791E"/>
    <w:rsid w:val="00570CA3"/>
    <w:rsid w:val="0057188E"/>
    <w:rsid w:val="00571BEF"/>
    <w:rsid w:val="00571F38"/>
    <w:rsid w:val="00572013"/>
    <w:rsid w:val="00572505"/>
    <w:rsid w:val="00572F94"/>
    <w:rsid w:val="005734D0"/>
    <w:rsid w:val="005746FF"/>
    <w:rsid w:val="00575E91"/>
    <w:rsid w:val="005767E1"/>
    <w:rsid w:val="00576DB1"/>
    <w:rsid w:val="00577586"/>
    <w:rsid w:val="005776F3"/>
    <w:rsid w:val="00580731"/>
    <w:rsid w:val="0058137D"/>
    <w:rsid w:val="00581AA0"/>
    <w:rsid w:val="00581FCC"/>
    <w:rsid w:val="00582809"/>
    <w:rsid w:val="00583A33"/>
    <w:rsid w:val="00583C23"/>
    <w:rsid w:val="00583E32"/>
    <w:rsid w:val="00583E5F"/>
    <w:rsid w:val="005846C3"/>
    <w:rsid w:val="0058473B"/>
    <w:rsid w:val="005854FA"/>
    <w:rsid w:val="00585D47"/>
    <w:rsid w:val="00585E0A"/>
    <w:rsid w:val="00586B5E"/>
    <w:rsid w:val="0058781D"/>
    <w:rsid w:val="0058798C"/>
    <w:rsid w:val="00587B3F"/>
    <w:rsid w:val="00587C9B"/>
    <w:rsid w:val="005900FA"/>
    <w:rsid w:val="005903E2"/>
    <w:rsid w:val="0059066A"/>
    <w:rsid w:val="00591EEA"/>
    <w:rsid w:val="005920D5"/>
    <w:rsid w:val="005929D2"/>
    <w:rsid w:val="00592B3B"/>
    <w:rsid w:val="00592C10"/>
    <w:rsid w:val="005935A4"/>
    <w:rsid w:val="0059414A"/>
    <w:rsid w:val="00594320"/>
    <w:rsid w:val="005948C2"/>
    <w:rsid w:val="00594A85"/>
    <w:rsid w:val="00595DCA"/>
    <w:rsid w:val="0059694B"/>
    <w:rsid w:val="00596A54"/>
    <w:rsid w:val="00596E55"/>
    <w:rsid w:val="0059715F"/>
    <w:rsid w:val="0059779B"/>
    <w:rsid w:val="005A0B27"/>
    <w:rsid w:val="005A0B89"/>
    <w:rsid w:val="005A11CD"/>
    <w:rsid w:val="005A209A"/>
    <w:rsid w:val="005A2489"/>
    <w:rsid w:val="005A4170"/>
    <w:rsid w:val="005A5580"/>
    <w:rsid w:val="005A662D"/>
    <w:rsid w:val="005A67D0"/>
    <w:rsid w:val="005A6837"/>
    <w:rsid w:val="005A6F48"/>
    <w:rsid w:val="005A6F99"/>
    <w:rsid w:val="005A7002"/>
    <w:rsid w:val="005A75AD"/>
    <w:rsid w:val="005A75D7"/>
    <w:rsid w:val="005B0644"/>
    <w:rsid w:val="005B1341"/>
    <w:rsid w:val="005B1409"/>
    <w:rsid w:val="005B1A46"/>
    <w:rsid w:val="005B2ED3"/>
    <w:rsid w:val="005B35D7"/>
    <w:rsid w:val="005B392A"/>
    <w:rsid w:val="005B3AA3"/>
    <w:rsid w:val="005B4421"/>
    <w:rsid w:val="005B6445"/>
    <w:rsid w:val="005B6721"/>
    <w:rsid w:val="005B6764"/>
    <w:rsid w:val="005B6F83"/>
    <w:rsid w:val="005B717C"/>
    <w:rsid w:val="005B7676"/>
    <w:rsid w:val="005B78A1"/>
    <w:rsid w:val="005B78CD"/>
    <w:rsid w:val="005B7BCD"/>
    <w:rsid w:val="005C04B1"/>
    <w:rsid w:val="005C064C"/>
    <w:rsid w:val="005C0B70"/>
    <w:rsid w:val="005C2CF6"/>
    <w:rsid w:val="005C399B"/>
    <w:rsid w:val="005C39F8"/>
    <w:rsid w:val="005C3D5D"/>
    <w:rsid w:val="005C4413"/>
    <w:rsid w:val="005C47AF"/>
    <w:rsid w:val="005C5DA8"/>
    <w:rsid w:val="005C5E0E"/>
    <w:rsid w:val="005C686E"/>
    <w:rsid w:val="005C720F"/>
    <w:rsid w:val="005C727D"/>
    <w:rsid w:val="005C74FB"/>
    <w:rsid w:val="005C7B22"/>
    <w:rsid w:val="005C7C2A"/>
    <w:rsid w:val="005D0AB5"/>
    <w:rsid w:val="005D1602"/>
    <w:rsid w:val="005D16A1"/>
    <w:rsid w:val="005D17B5"/>
    <w:rsid w:val="005D18EE"/>
    <w:rsid w:val="005D1B27"/>
    <w:rsid w:val="005D1DFC"/>
    <w:rsid w:val="005D2232"/>
    <w:rsid w:val="005D2BDB"/>
    <w:rsid w:val="005D2BF1"/>
    <w:rsid w:val="005D40E0"/>
    <w:rsid w:val="005D5575"/>
    <w:rsid w:val="005D5A7C"/>
    <w:rsid w:val="005D5E17"/>
    <w:rsid w:val="005D641C"/>
    <w:rsid w:val="005D6A0D"/>
    <w:rsid w:val="005D6C34"/>
    <w:rsid w:val="005D771C"/>
    <w:rsid w:val="005D7986"/>
    <w:rsid w:val="005E026C"/>
    <w:rsid w:val="005E0308"/>
    <w:rsid w:val="005E0680"/>
    <w:rsid w:val="005E1387"/>
    <w:rsid w:val="005E1558"/>
    <w:rsid w:val="005E1F7D"/>
    <w:rsid w:val="005E2183"/>
    <w:rsid w:val="005E28C4"/>
    <w:rsid w:val="005E3797"/>
    <w:rsid w:val="005E385F"/>
    <w:rsid w:val="005E3DF7"/>
    <w:rsid w:val="005E53DC"/>
    <w:rsid w:val="005E5809"/>
    <w:rsid w:val="005E5B81"/>
    <w:rsid w:val="005E62DE"/>
    <w:rsid w:val="005E6E3B"/>
    <w:rsid w:val="005E72BE"/>
    <w:rsid w:val="005F03E0"/>
    <w:rsid w:val="005F0BEC"/>
    <w:rsid w:val="005F0D37"/>
    <w:rsid w:val="005F0D44"/>
    <w:rsid w:val="005F0E83"/>
    <w:rsid w:val="005F0E86"/>
    <w:rsid w:val="005F146E"/>
    <w:rsid w:val="005F1F22"/>
    <w:rsid w:val="005F1F60"/>
    <w:rsid w:val="005F2CB1"/>
    <w:rsid w:val="005F3025"/>
    <w:rsid w:val="005F3BB3"/>
    <w:rsid w:val="005F4BD1"/>
    <w:rsid w:val="005F5DB3"/>
    <w:rsid w:val="005F618C"/>
    <w:rsid w:val="005F63D2"/>
    <w:rsid w:val="005F678D"/>
    <w:rsid w:val="005F70BD"/>
    <w:rsid w:val="006002BE"/>
    <w:rsid w:val="00600E17"/>
    <w:rsid w:val="006011FC"/>
    <w:rsid w:val="00601622"/>
    <w:rsid w:val="00601892"/>
    <w:rsid w:val="0060283C"/>
    <w:rsid w:val="006044D7"/>
    <w:rsid w:val="00604509"/>
    <w:rsid w:val="00604B31"/>
    <w:rsid w:val="00604BEE"/>
    <w:rsid w:val="00604F02"/>
    <w:rsid w:val="00604F14"/>
    <w:rsid w:val="0060591B"/>
    <w:rsid w:val="00607332"/>
    <w:rsid w:val="006075CC"/>
    <w:rsid w:val="006104CB"/>
    <w:rsid w:val="006106A4"/>
    <w:rsid w:val="00611126"/>
    <w:rsid w:val="00611137"/>
    <w:rsid w:val="00611722"/>
    <w:rsid w:val="00611B83"/>
    <w:rsid w:val="00611F9F"/>
    <w:rsid w:val="00613257"/>
    <w:rsid w:val="00613850"/>
    <w:rsid w:val="00614781"/>
    <w:rsid w:val="00614ED7"/>
    <w:rsid w:val="006161CC"/>
    <w:rsid w:val="00616732"/>
    <w:rsid w:val="00616D9B"/>
    <w:rsid w:val="00617376"/>
    <w:rsid w:val="006173FF"/>
    <w:rsid w:val="00617C4B"/>
    <w:rsid w:val="00620A1B"/>
    <w:rsid w:val="00620A71"/>
    <w:rsid w:val="00620D80"/>
    <w:rsid w:val="006214C1"/>
    <w:rsid w:val="006214FA"/>
    <w:rsid w:val="00621789"/>
    <w:rsid w:val="0062184F"/>
    <w:rsid w:val="0062246F"/>
    <w:rsid w:val="00622D1C"/>
    <w:rsid w:val="006234A6"/>
    <w:rsid w:val="006234C7"/>
    <w:rsid w:val="006243C3"/>
    <w:rsid w:val="0062474F"/>
    <w:rsid w:val="00624780"/>
    <w:rsid w:val="00624866"/>
    <w:rsid w:val="00624CB3"/>
    <w:rsid w:val="00624DC9"/>
    <w:rsid w:val="006251EA"/>
    <w:rsid w:val="0062610E"/>
    <w:rsid w:val="006264E0"/>
    <w:rsid w:val="0062697C"/>
    <w:rsid w:val="006279A8"/>
    <w:rsid w:val="00627CE8"/>
    <w:rsid w:val="00630001"/>
    <w:rsid w:val="006302D4"/>
    <w:rsid w:val="0063065A"/>
    <w:rsid w:val="00631133"/>
    <w:rsid w:val="00631161"/>
    <w:rsid w:val="006311B3"/>
    <w:rsid w:val="006315E2"/>
    <w:rsid w:val="00631661"/>
    <w:rsid w:val="00631888"/>
    <w:rsid w:val="0063284C"/>
    <w:rsid w:val="00632E30"/>
    <w:rsid w:val="0063314F"/>
    <w:rsid w:val="0063469B"/>
    <w:rsid w:val="006352AE"/>
    <w:rsid w:val="006353B1"/>
    <w:rsid w:val="00636398"/>
    <w:rsid w:val="006368D3"/>
    <w:rsid w:val="0063707D"/>
    <w:rsid w:val="00637502"/>
    <w:rsid w:val="00637747"/>
    <w:rsid w:val="006377EC"/>
    <w:rsid w:val="006401EC"/>
    <w:rsid w:val="0064061E"/>
    <w:rsid w:val="00640B56"/>
    <w:rsid w:val="0064151F"/>
    <w:rsid w:val="00641533"/>
    <w:rsid w:val="0064168F"/>
    <w:rsid w:val="006417B1"/>
    <w:rsid w:val="006417FA"/>
    <w:rsid w:val="00641F2B"/>
    <w:rsid w:val="00641F90"/>
    <w:rsid w:val="0064208D"/>
    <w:rsid w:val="0064235C"/>
    <w:rsid w:val="00643475"/>
    <w:rsid w:val="006434F1"/>
    <w:rsid w:val="0064396A"/>
    <w:rsid w:val="00644207"/>
    <w:rsid w:val="00645B39"/>
    <w:rsid w:val="00645D46"/>
    <w:rsid w:val="00645E96"/>
    <w:rsid w:val="0064624E"/>
    <w:rsid w:val="006463F5"/>
    <w:rsid w:val="0064679D"/>
    <w:rsid w:val="00647602"/>
    <w:rsid w:val="0064783B"/>
    <w:rsid w:val="00647944"/>
    <w:rsid w:val="00650AB9"/>
    <w:rsid w:val="00650ED1"/>
    <w:rsid w:val="00651235"/>
    <w:rsid w:val="0065182A"/>
    <w:rsid w:val="00651981"/>
    <w:rsid w:val="00652824"/>
    <w:rsid w:val="0065348A"/>
    <w:rsid w:val="00653688"/>
    <w:rsid w:val="006536FA"/>
    <w:rsid w:val="006544D9"/>
    <w:rsid w:val="00655733"/>
    <w:rsid w:val="00655A35"/>
    <w:rsid w:val="00655ACD"/>
    <w:rsid w:val="00655C73"/>
    <w:rsid w:val="00656165"/>
    <w:rsid w:val="00656520"/>
    <w:rsid w:val="00656A92"/>
    <w:rsid w:val="00656B4F"/>
    <w:rsid w:val="00656BF8"/>
    <w:rsid w:val="00656DDE"/>
    <w:rsid w:val="006577CC"/>
    <w:rsid w:val="00657CB7"/>
    <w:rsid w:val="0066011D"/>
    <w:rsid w:val="006601BB"/>
    <w:rsid w:val="006607C0"/>
    <w:rsid w:val="006613A6"/>
    <w:rsid w:val="006626DE"/>
    <w:rsid w:val="006627A2"/>
    <w:rsid w:val="00662904"/>
    <w:rsid w:val="00662D0B"/>
    <w:rsid w:val="00662EA3"/>
    <w:rsid w:val="00663322"/>
    <w:rsid w:val="006634E6"/>
    <w:rsid w:val="006639D1"/>
    <w:rsid w:val="0066471D"/>
    <w:rsid w:val="00665315"/>
    <w:rsid w:val="006655EE"/>
    <w:rsid w:val="00665F82"/>
    <w:rsid w:val="006663D3"/>
    <w:rsid w:val="006668A6"/>
    <w:rsid w:val="00666E6D"/>
    <w:rsid w:val="00667DD6"/>
    <w:rsid w:val="00667EE7"/>
    <w:rsid w:val="0067006D"/>
    <w:rsid w:val="00670088"/>
    <w:rsid w:val="00670922"/>
    <w:rsid w:val="006709B7"/>
    <w:rsid w:val="00670A78"/>
    <w:rsid w:val="00670BE1"/>
    <w:rsid w:val="00670E0E"/>
    <w:rsid w:val="00671122"/>
    <w:rsid w:val="0067218F"/>
    <w:rsid w:val="00672194"/>
    <w:rsid w:val="0067292A"/>
    <w:rsid w:val="00673433"/>
    <w:rsid w:val="00673C85"/>
    <w:rsid w:val="006741F2"/>
    <w:rsid w:val="0067434E"/>
    <w:rsid w:val="00674683"/>
    <w:rsid w:val="00674CC3"/>
    <w:rsid w:val="00674D62"/>
    <w:rsid w:val="006753E0"/>
    <w:rsid w:val="00675C72"/>
    <w:rsid w:val="0067658D"/>
    <w:rsid w:val="00676E41"/>
    <w:rsid w:val="00676FB3"/>
    <w:rsid w:val="006771F9"/>
    <w:rsid w:val="006774F4"/>
    <w:rsid w:val="00677635"/>
    <w:rsid w:val="006776D7"/>
    <w:rsid w:val="00677910"/>
    <w:rsid w:val="00680B70"/>
    <w:rsid w:val="00681003"/>
    <w:rsid w:val="006812C6"/>
    <w:rsid w:val="006817C9"/>
    <w:rsid w:val="00681B11"/>
    <w:rsid w:val="006820DD"/>
    <w:rsid w:val="006822C4"/>
    <w:rsid w:val="006825E4"/>
    <w:rsid w:val="00683ECE"/>
    <w:rsid w:val="006841EC"/>
    <w:rsid w:val="00684A1D"/>
    <w:rsid w:val="00684C32"/>
    <w:rsid w:val="00685650"/>
    <w:rsid w:val="006858D6"/>
    <w:rsid w:val="006859FC"/>
    <w:rsid w:val="0068613C"/>
    <w:rsid w:val="0068682E"/>
    <w:rsid w:val="00686A66"/>
    <w:rsid w:val="00686E43"/>
    <w:rsid w:val="0068706E"/>
    <w:rsid w:val="0068784A"/>
    <w:rsid w:val="006878E3"/>
    <w:rsid w:val="00687953"/>
    <w:rsid w:val="006907DF"/>
    <w:rsid w:val="00690FA7"/>
    <w:rsid w:val="00691D7E"/>
    <w:rsid w:val="006923A2"/>
    <w:rsid w:val="00692513"/>
    <w:rsid w:val="006927BA"/>
    <w:rsid w:val="00692925"/>
    <w:rsid w:val="00692AB5"/>
    <w:rsid w:val="00693454"/>
    <w:rsid w:val="00694767"/>
    <w:rsid w:val="00695FC2"/>
    <w:rsid w:val="006962A2"/>
    <w:rsid w:val="00696949"/>
    <w:rsid w:val="00696BA3"/>
    <w:rsid w:val="00696EA0"/>
    <w:rsid w:val="00697052"/>
    <w:rsid w:val="00697DA4"/>
    <w:rsid w:val="00697EF2"/>
    <w:rsid w:val="006A000F"/>
    <w:rsid w:val="006A18DF"/>
    <w:rsid w:val="006A1A25"/>
    <w:rsid w:val="006A2D2B"/>
    <w:rsid w:val="006A33DC"/>
    <w:rsid w:val="006A3A23"/>
    <w:rsid w:val="006A3CB9"/>
    <w:rsid w:val="006A422E"/>
    <w:rsid w:val="006A4465"/>
    <w:rsid w:val="006A461C"/>
    <w:rsid w:val="006A46FB"/>
    <w:rsid w:val="006A5319"/>
    <w:rsid w:val="006A5E28"/>
    <w:rsid w:val="006A697B"/>
    <w:rsid w:val="006A6C58"/>
    <w:rsid w:val="006A7075"/>
    <w:rsid w:val="006A72AC"/>
    <w:rsid w:val="006A7344"/>
    <w:rsid w:val="006A7A64"/>
    <w:rsid w:val="006A7AFF"/>
    <w:rsid w:val="006B08C9"/>
    <w:rsid w:val="006B1816"/>
    <w:rsid w:val="006B2099"/>
    <w:rsid w:val="006B224F"/>
    <w:rsid w:val="006B2A23"/>
    <w:rsid w:val="006B301C"/>
    <w:rsid w:val="006B50CF"/>
    <w:rsid w:val="006B5358"/>
    <w:rsid w:val="006B53D0"/>
    <w:rsid w:val="006B5565"/>
    <w:rsid w:val="006B5EF7"/>
    <w:rsid w:val="006B6E7E"/>
    <w:rsid w:val="006B73AC"/>
    <w:rsid w:val="006B76B6"/>
    <w:rsid w:val="006B78C6"/>
    <w:rsid w:val="006B7EB3"/>
    <w:rsid w:val="006C03B8"/>
    <w:rsid w:val="006C0569"/>
    <w:rsid w:val="006C05F9"/>
    <w:rsid w:val="006C09D8"/>
    <w:rsid w:val="006C0CCD"/>
    <w:rsid w:val="006C0F12"/>
    <w:rsid w:val="006C0FF6"/>
    <w:rsid w:val="006C11D2"/>
    <w:rsid w:val="006C17CC"/>
    <w:rsid w:val="006C1DE0"/>
    <w:rsid w:val="006C2ACF"/>
    <w:rsid w:val="006C2C1E"/>
    <w:rsid w:val="006C39F1"/>
    <w:rsid w:val="006C44C8"/>
    <w:rsid w:val="006C4582"/>
    <w:rsid w:val="006C47C6"/>
    <w:rsid w:val="006C5B10"/>
    <w:rsid w:val="006C5BF4"/>
    <w:rsid w:val="006C5EC9"/>
    <w:rsid w:val="006C6059"/>
    <w:rsid w:val="006C7522"/>
    <w:rsid w:val="006C7C75"/>
    <w:rsid w:val="006C7D1F"/>
    <w:rsid w:val="006D0588"/>
    <w:rsid w:val="006D133A"/>
    <w:rsid w:val="006D1CF5"/>
    <w:rsid w:val="006D29F7"/>
    <w:rsid w:val="006D3043"/>
    <w:rsid w:val="006D3DA3"/>
    <w:rsid w:val="006D4352"/>
    <w:rsid w:val="006D4DA4"/>
    <w:rsid w:val="006D5EFE"/>
    <w:rsid w:val="006D6C4E"/>
    <w:rsid w:val="006D6F08"/>
    <w:rsid w:val="006D7FBA"/>
    <w:rsid w:val="006E0090"/>
    <w:rsid w:val="006E015F"/>
    <w:rsid w:val="006E062C"/>
    <w:rsid w:val="006E082C"/>
    <w:rsid w:val="006E1546"/>
    <w:rsid w:val="006E1557"/>
    <w:rsid w:val="006E1AAF"/>
    <w:rsid w:val="006E1C82"/>
    <w:rsid w:val="006E1D1F"/>
    <w:rsid w:val="006E2719"/>
    <w:rsid w:val="006E28B7"/>
    <w:rsid w:val="006E2A9B"/>
    <w:rsid w:val="006E3310"/>
    <w:rsid w:val="006E3365"/>
    <w:rsid w:val="006E44E0"/>
    <w:rsid w:val="006E44EE"/>
    <w:rsid w:val="006E4E39"/>
    <w:rsid w:val="006E5162"/>
    <w:rsid w:val="006E565E"/>
    <w:rsid w:val="006E673D"/>
    <w:rsid w:val="006E7184"/>
    <w:rsid w:val="006E79E0"/>
    <w:rsid w:val="006E7D3B"/>
    <w:rsid w:val="006E7E43"/>
    <w:rsid w:val="006F07A0"/>
    <w:rsid w:val="006F1B70"/>
    <w:rsid w:val="006F29A3"/>
    <w:rsid w:val="006F29BB"/>
    <w:rsid w:val="006F341D"/>
    <w:rsid w:val="006F3CDE"/>
    <w:rsid w:val="006F4828"/>
    <w:rsid w:val="006F4C5C"/>
    <w:rsid w:val="006F57E6"/>
    <w:rsid w:val="006F58D4"/>
    <w:rsid w:val="006F5ABB"/>
    <w:rsid w:val="006F6004"/>
    <w:rsid w:val="006F6582"/>
    <w:rsid w:val="006F6D4F"/>
    <w:rsid w:val="006F6DFE"/>
    <w:rsid w:val="006F71EF"/>
    <w:rsid w:val="006F71FF"/>
    <w:rsid w:val="006F7FEE"/>
    <w:rsid w:val="00700F26"/>
    <w:rsid w:val="00701777"/>
    <w:rsid w:val="007017F9"/>
    <w:rsid w:val="00701823"/>
    <w:rsid w:val="00701CD2"/>
    <w:rsid w:val="0070346E"/>
    <w:rsid w:val="00703A7B"/>
    <w:rsid w:val="00704E3E"/>
    <w:rsid w:val="00704EDB"/>
    <w:rsid w:val="007054FB"/>
    <w:rsid w:val="0070551C"/>
    <w:rsid w:val="007056CF"/>
    <w:rsid w:val="00705E1C"/>
    <w:rsid w:val="00705F7E"/>
    <w:rsid w:val="007060C9"/>
    <w:rsid w:val="00706101"/>
    <w:rsid w:val="00706277"/>
    <w:rsid w:val="00707072"/>
    <w:rsid w:val="007075FF"/>
    <w:rsid w:val="00707D61"/>
    <w:rsid w:val="00711541"/>
    <w:rsid w:val="007120C7"/>
    <w:rsid w:val="00712287"/>
    <w:rsid w:val="007124E5"/>
    <w:rsid w:val="00712772"/>
    <w:rsid w:val="00712AC7"/>
    <w:rsid w:val="00712AD7"/>
    <w:rsid w:val="00712B34"/>
    <w:rsid w:val="00712CE9"/>
    <w:rsid w:val="00713100"/>
    <w:rsid w:val="007133CF"/>
    <w:rsid w:val="007136CA"/>
    <w:rsid w:val="007144D7"/>
    <w:rsid w:val="007145F3"/>
    <w:rsid w:val="00714872"/>
    <w:rsid w:val="007148D3"/>
    <w:rsid w:val="00714CD4"/>
    <w:rsid w:val="00715559"/>
    <w:rsid w:val="00715B9A"/>
    <w:rsid w:val="007162EE"/>
    <w:rsid w:val="00716343"/>
    <w:rsid w:val="007165FC"/>
    <w:rsid w:val="00717AD9"/>
    <w:rsid w:val="007216E9"/>
    <w:rsid w:val="00721D4A"/>
    <w:rsid w:val="00722AB9"/>
    <w:rsid w:val="00722DCF"/>
    <w:rsid w:val="00722F38"/>
    <w:rsid w:val="00723BAE"/>
    <w:rsid w:val="00724A1B"/>
    <w:rsid w:val="007256EB"/>
    <w:rsid w:val="007257D0"/>
    <w:rsid w:val="007263A9"/>
    <w:rsid w:val="007263FC"/>
    <w:rsid w:val="00726EA6"/>
    <w:rsid w:val="00727208"/>
    <w:rsid w:val="00727680"/>
    <w:rsid w:val="00727B05"/>
    <w:rsid w:val="00731D3D"/>
    <w:rsid w:val="007321BB"/>
    <w:rsid w:val="007321D0"/>
    <w:rsid w:val="00732225"/>
    <w:rsid w:val="007330D6"/>
    <w:rsid w:val="007332CE"/>
    <w:rsid w:val="007339B1"/>
    <w:rsid w:val="00733D3C"/>
    <w:rsid w:val="007348B1"/>
    <w:rsid w:val="007362A6"/>
    <w:rsid w:val="00736D7D"/>
    <w:rsid w:val="0073765E"/>
    <w:rsid w:val="0073777B"/>
    <w:rsid w:val="007401F7"/>
    <w:rsid w:val="00740736"/>
    <w:rsid w:val="00740E58"/>
    <w:rsid w:val="00741EAA"/>
    <w:rsid w:val="007422A6"/>
    <w:rsid w:val="007423C1"/>
    <w:rsid w:val="00742751"/>
    <w:rsid w:val="007438AC"/>
    <w:rsid w:val="00743F85"/>
    <w:rsid w:val="007445A0"/>
    <w:rsid w:val="007446B3"/>
    <w:rsid w:val="00744B93"/>
    <w:rsid w:val="00744DD9"/>
    <w:rsid w:val="0074524B"/>
    <w:rsid w:val="00747C3C"/>
    <w:rsid w:val="00747D8B"/>
    <w:rsid w:val="007506C7"/>
    <w:rsid w:val="00751228"/>
    <w:rsid w:val="00751DCA"/>
    <w:rsid w:val="0075215E"/>
    <w:rsid w:val="00752257"/>
    <w:rsid w:val="00752655"/>
    <w:rsid w:val="0075280B"/>
    <w:rsid w:val="0075331C"/>
    <w:rsid w:val="00753D4E"/>
    <w:rsid w:val="00754548"/>
    <w:rsid w:val="00754C54"/>
    <w:rsid w:val="00755494"/>
    <w:rsid w:val="00755C52"/>
    <w:rsid w:val="00756352"/>
    <w:rsid w:val="00756517"/>
    <w:rsid w:val="0075668E"/>
    <w:rsid w:val="007571E1"/>
    <w:rsid w:val="007604B2"/>
    <w:rsid w:val="00760741"/>
    <w:rsid w:val="00760920"/>
    <w:rsid w:val="00761FCA"/>
    <w:rsid w:val="00762330"/>
    <w:rsid w:val="007629F4"/>
    <w:rsid w:val="00763FE9"/>
    <w:rsid w:val="0076401B"/>
    <w:rsid w:val="00765281"/>
    <w:rsid w:val="00765297"/>
    <w:rsid w:val="00765BDE"/>
    <w:rsid w:val="00765F19"/>
    <w:rsid w:val="00766896"/>
    <w:rsid w:val="00766B6B"/>
    <w:rsid w:val="00766BAD"/>
    <w:rsid w:val="00767175"/>
    <w:rsid w:val="00770308"/>
    <w:rsid w:val="00770310"/>
    <w:rsid w:val="00770A13"/>
    <w:rsid w:val="00771E0C"/>
    <w:rsid w:val="007729A2"/>
    <w:rsid w:val="00773513"/>
    <w:rsid w:val="007735B5"/>
    <w:rsid w:val="00773D43"/>
    <w:rsid w:val="00774B54"/>
    <w:rsid w:val="00774C0E"/>
    <w:rsid w:val="00774F55"/>
    <w:rsid w:val="00775070"/>
    <w:rsid w:val="0077528E"/>
    <w:rsid w:val="007755BF"/>
    <w:rsid w:val="007755F2"/>
    <w:rsid w:val="00775F48"/>
    <w:rsid w:val="00776971"/>
    <w:rsid w:val="0077729A"/>
    <w:rsid w:val="00777646"/>
    <w:rsid w:val="00777696"/>
    <w:rsid w:val="007776A2"/>
    <w:rsid w:val="00777DF0"/>
    <w:rsid w:val="007807D0"/>
    <w:rsid w:val="00780A80"/>
    <w:rsid w:val="0078177E"/>
    <w:rsid w:val="00781CB0"/>
    <w:rsid w:val="0078207B"/>
    <w:rsid w:val="007825D0"/>
    <w:rsid w:val="0078264C"/>
    <w:rsid w:val="0078304C"/>
    <w:rsid w:val="00783673"/>
    <w:rsid w:val="00783B79"/>
    <w:rsid w:val="007842CD"/>
    <w:rsid w:val="007843C7"/>
    <w:rsid w:val="00784BA0"/>
    <w:rsid w:val="00784BA5"/>
    <w:rsid w:val="00785459"/>
    <w:rsid w:val="00785490"/>
    <w:rsid w:val="007854AD"/>
    <w:rsid w:val="00785AAC"/>
    <w:rsid w:val="007863B1"/>
    <w:rsid w:val="0078670F"/>
    <w:rsid w:val="00786DD0"/>
    <w:rsid w:val="00787A79"/>
    <w:rsid w:val="00787CB9"/>
    <w:rsid w:val="00787E80"/>
    <w:rsid w:val="007901BA"/>
    <w:rsid w:val="00790256"/>
    <w:rsid w:val="00790788"/>
    <w:rsid w:val="0079121A"/>
    <w:rsid w:val="007916C9"/>
    <w:rsid w:val="007919CA"/>
    <w:rsid w:val="00791B52"/>
    <w:rsid w:val="00791C20"/>
    <w:rsid w:val="00791FD1"/>
    <w:rsid w:val="00792429"/>
    <w:rsid w:val="007925EA"/>
    <w:rsid w:val="0079273D"/>
    <w:rsid w:val="0079295D"/>
    <w:rsid w:val="007929D2"/>
    <w:rsid w:val="00792F44"/>
    <w:rsid w:val="0079302D"/>
    <w:rsid w:val="007936D4"/>
    <w:rsid w:val="0079399A"/>
    <w:rsid w:val="00793CD8"/>
    <w:rsid w:val="00793CF1"/>
    <w:rsid w:val="007942F1"/>
    <w:rsid w:val="00794FE1"/>
    <w:rsid w:val="00795370"/>
    <w:rsid w:val="007957B3"/>
    <w:rsid w:val="00795B3D"/>
    <w:rsid w:val="00795C92"/>
    <w:rsid w:val="00796231"/>
    <w:rsid w:val="00797FFE"/>
    <w:rsid w:val="007A002F"/>
    <w:rsid w:val="007A13E2"/>
    <w:rsid w:val="007A1CB3"/>
    <w:rsid w:val="007A1E38"/>
    <w:rsid w:val="007A1ECD"/>
    <w:rsid w:val="007A21EA"/>
    <w:rsid w:val="007A2972"/>
    <w:rsid w:val="007A306F"/>
    <w:rsid w:val="007A43A6"/>
    <w:rsid w:val="007A4A57"/>
    <w:rsid w:val="007A580E"/>
    <w:rsid w:val="007A58A6"/>
    <w:rsid w:val="007A5A07"/>
    <w:rsid w:val="007A5B8B"/>
    <w:rsid w:val="007A6ABF"/>
    <w:rsid w:val="007A6B6A"/>
    <w:rsid w:val="007A6F70"/>
    <w:rsid w:val="007A7277"/>
    <w:rsid w:val="007B0C11"/>
    <w:rsid w:val="007B1F28"/>
    <w:rsid w:val="007B2294"/>
    <w:rsid w:val="007B2392"/>
    <w:rsid w:val="007B25CF"/>
    <w:rsid w:val="007B2758"/>
    <w:rsid w:val="007B3196"/>
    <w:rsid w:val="007B3481"/>
    <w:rsid w:val="007B3495"/>
    <w:rsid w:val="007B3D2D"/>
    <w:rsid w:val="007B3F5F"/>
    <w:rsid w:val="007B40DF"/>
    <w:rsid w:val="007B4D8B"/>
    <w:rsid w:val="007B50AE"/>
    <w:rsid w:val="007B51DF"/>
    <w:rsid w:val="007B5254"/>
    <w:rsid w:val="007B5433"/>
    <w:rsid w:val="007B627D"/>
    <w:rsid w:val="007B6BC1"/>
    <w:rsid w:val="007B6C46"/>
    <w:rsid w:val="007B7598"/>
    <w:rsid w:val="007B779C"/>
    <w:rsid w:val="007B7E36"/>
    <w:rsid w:val="007C05DD"/>
    <w:rsid w:val="007C1237"/>
    <w:rsid w:val="007C1AC3"/>
    <w:rsid w:val="007C2E0D"/>
    <w:rsid w:val="007C2E22"/>
    <w:rsid w:val="007C35B6"/>
    <w:rsid w:val="007C37C3"/>
    <w:rsid w:val="007C3D18"/>
    <w:rsid w:val="007C4697"/>
    <w:rsid w:val="007C4A2D"/>
    <w:rsid w:val="007C57C5"/>
    <w:rsid w:val="007C581F"/>
    <w:rsid w:val="007C5936"/>
    <w:rsid w:val="007C60BF"/>
    <w:rsid w:val="007C63D2"/>
    <w:rsid w:val="007C656D"/>
    <w:rsid w:val="007C6A07"/>
    <w:rsid w:val="007C75A1"/>
    <w:rsid w:val="007C77A5"/>
    <w:rsid w:val="007D04E5"/>
    <w:rsid w:val="007D0780"/>
    <w:rsid w:val="007D1B8A"/>
    <w:rsid w:val="007D1F8B"/>
    <w:rsid w:val="007D2ABC"/>
    <w:rsid w:val="007D2B7D"/>
    <w:rsid w:val="007D3555"/>
    <w:rsid w:val="007D38C7"/>
    <w:rsid w:val="007D3B48"/>
    <w:rsid w:val="007D3D94"/>
    <w:rsid w:val="007D4D18"/>
    <w:rsid w:val="007D535F"/>
    <w:rsid w:val="007D5901"/>
    <w:rsid w:val="007D5C6C"/>
    <w:rsid w:val="007D7526"/>
    <w:rsid w:val="007D7A7E"/>
    <w:rsid w:val="007D7B00"/>
    <w:rsid w:val="007D7DC7"/>
    <w:rsid w:val="007D7E5B"/>
    <w:rsid w:val="007E041A"/>
    <w:rsid w:val="007E0690"/>
    <w:rsid w:val="007E15F7"/>
    <w:rsid w:val="007E1CC2"/>
    <w:rsid w:val="007E2342"/>
    <w:rsid w:val="007E2495"/>
    <w:rsid w:val="007E3A02"/>
    <w:rsid w:val="007E4610"/>
    <w:rsid w:val="007E4715"/>
    <w:rsid w:val="007E4C71"/>
    <w:rsid w:val="007E4E55"/>
    <w:rsid w:val="007E4F3E"/>
    <w:rsid w:val="007E505B"/>
    <w:rsid w:val="007E5430"/>
    <w:rsid w:val="007E6BDB"/>
    <w:rsid w:val="007E7091"/>
    <w:rsid w:val="007E71B7"/>
    <w:rsid w:val="007F01AE"/>
    <w:rsid w:val="007F0789"/>
    <w:rsid w:val="007F0A2B"/>
    <w:rsid w:val="007F0B29"/>
    <w:rsid w:val="007F1BFB"/>
    <w:rsid w:val="007F2063"/>
    <w:rsid w:val="007F2734"/>
    <w:rsid w:val="007F381C"/>
    <w:rsid w:val="007F3F7A"/>
    <w:rsid w:val="007F44ED"/>
    <w:rsid w:val="007F4EE8"/>
    <w:rsid w:val="007F5D5F"/>
    <w:rsid w:val="007F6A11"/>
    <w:rsid w:val="007F6E3E"/>
    <w:rsid w:val="0080006F"/>
    <w:rsid w:val="008002FF"/>
    <w:rsid w:val="00800776"/>
    <w:rsid w:val="00801213"/>
    <w:rsid w:val="008012BF"/>
    <w:rsid w:val="008015A4"/>
    <w:rsid w:val="00801CEF"/>
    <w:rsid w:val="00801DAC"/>
    <w:rsid w:val="00803091"/>
    <w:rsid w:val="008033A1"/>
    <w:rsid w:val="00803BCC"/>
    <w:rsid w:val="00803FAE"/>
    <w:rsid w:val="0080451C"/>
    <w:rsid w:val="008049F7"/>
    <w:rsid w:val="00804BBE"/>
    <w:rsid w:val="00805004"/>
    <w:rsid w:val="0080521D"/>
    <w:rsid w:val="00805A16"/>
    <w:rsid w:val="00805B2D"/>
    <w:rsid w:val="0080605F"/>
    <w:rsid w:val="00806973"/>
    <w:rsid w:val="00806ACF"/>
    <w:rsid w:val="00806EF7"/>
    <w:rsid w:val="00807081"/>
    <w:rsid w:val="0080755F"/>
    <w:rsid w:val="00807786"/>
    <w:rsid w:val="00811F6C"/>
    <w:rsid w:val="00811FCB"/>
    <w:rsid w:val="00812661"/>
    <w:rsid w:val="00812A96"/>
    <w:rsid w:val="00812C48"/>
    <w:rsid w:val="00812FBF"/>
    <w:rsid w:val="0081363A"/>
    <w:rsid w:val="00813AF4"/>
    <w:rsid w:val="00814515"/>
    <w:rsid w:val="00814B43"/>
    <w:rsid w:val="008158D6"/>
    <w:rsid w:val="00815A01"/>
    <w:rsid w:val="0081607B"/>
    <w:rsid w:val="00816854"/>
    <w:rsid w:val="00816EB6"/>
    <w:rsid w:val="00817196"/>
    <w:rsid w:val="0081757C"/>
    <w:rsid w:val="00817D84"/>
    <w:rsid w:val="00820EB8"/>
    <w:rsid w:val="00822797"/>
    <w:rsid w:val="00823086"/>
    <w:rsid w:val="0082353D"/>
    <w:rsid w:val="008235DB"/>
    <w:rsid w:val="00824AB4"/>
    <w:rsid w:val="00825C42"/>
    <w:rsid w:val="00825CCF"/>
    <w:rsid w:val="00825D25"/>
    <w:rsid w:val="00825D94"/>
    <w:rsid w:val="008263B4"/>
    <w:rsid w:val="0082641E"/>
    <w:rsid w:val="00826B2F"/>
    <w:rsid w:val="00826EE0"/>
    <w:rsid w:val="00827AA7"/>
    <w:rsid w:val="00827D6F"/>
    <w:rsid w:val="008316CA"/>
    <w:rsid w:val="00831A75"/>
    <w:rsid w:val="0083297B"/>
    <w:rsid w:val="00832F6F"/>
    <w:rsid w:val="008331C0"/>
    <w:rsid w:val="008347ED"/>
    <w:rsid w:val="00835272"/>
    <w:rsid w:val="008353E7"/>
    <w:rsid w:val="00835BBB"/>
    <w:rsid w:val="00835F53"/>
    <w:rsid w:val="008361B6"/>
    <w:rsid w:val="00836227"/>
    <w:rsid w:val="00836363"/>
    <w:rsid w:val="008372D7"/>
    <w:rsid w:val="008375E9"/>
    <w:rsid w:val="008376AC"/>
    <w:rsid w:val="00840508"/>
    <w:rsid w:val="00840954"/>
    <w:rsid w:val="00840A0F"/>
    <w:rsid w:val="00840B88"/>
    <w:rsid w:val="008415F4"/>
    <w:rsid w:val="00841D39"/>
    <w:rsid w:val="0084227C"/>
    <w:rsid w:val="0084270C"/>
    <w:rsid w:val="00842C92"/>
    <w:rsid w:val="00843099"/>
    <w:rsid w:val="008430FA"/>
    <w:rsid w:val="00843250"/>
    <w:rsid w:val="00843469"/>
    <w:rsid w:val="00843C81"/>
    <w:rsid w:val="008444E8"/>
    <w:rsid w:val="00844E80"/>
    <w:rsid w:val="008459A0"/>
    <w:rsid w:val="0084685A"/>
    <w:rsid w:val="00846CA7"/>
    <w:rsid w:val="00846FE7"/>
    <w:rsid w:val="0084736A"/>
    <w:rsid w:val="00847D8F"/>
    <w:rsid w:val="00847DB7"/>
    <w:rsid w:val="00847DC5"/>
    <w:rsid w:val="00847E35"/>
    <w:rsid w:val="008503C8"/>
    <w:rsid w:val="00851762"/>
    <w:rsid w:val="008526BC"/>
    <w:rsid w:val="00852A10"/>
    <w:rsid w:val="00852DDB"/>
    <w:rsid w:val="00852F3C"/>
    <w:rsid w:val="00852FBA"/>
    <w:rsid w:val="00853AAF"/>
    <w:rsid w:val="008541D9"/>
    <w:rsid w:val="0085459A"/>
    <w:rsid w:val="00856262"/>
    <w:rsid w:val="0085674C"/>
    <w:rsid w:val="00856911"/>
    <w:rsid w:val="00856D37"/>
    <w:rsid w:val="00856E47"/>
    <w:rsid w:val="0085707B"/>
    <w:rsid w:val="0085754F"/>
    <w:rsid w:val="00857799"/>
    <w:rsid w:val="00857C4F"/>
    <w:rsid w:val="00857C57"/>
    <w:rsid w:val="008603D1"/>
    <w:rsid w:val="00861276"/>
    <w:rsid w:val="00861D4E"/>
    <w:rsid w:val="00863A20"/>
    <w:rsid w:val="00864F5E"/>
    <w:rsid w:val="00865145"/>
    <w:rsid w:val="008658C3"/>
    <w:rsid w:val="008666EB"/>
    <w:rsid w:val="00866F37"/>
    <w:rsid w:val="0086730F"/>
    <w:rsid w:val="008677FD"/>
    <w:rsid w:val="0086787F"/>
    <w:rsid w:val="008706D4"/>
    <w:rsid w:val="00870915"/>
    <w:rsid w:val="00870957"/>
    <w:rsid w:val="00870C17"/>
    <w:rsid w:val="00870D70"/>
    <w:rsid w:val="00870F8A"/>
    <w:rsid w:val="008714E1"/>
    <w:rsid w:val="008719A4"/>
    <w:rsid w:val="00871D23"/>
    <w:rsid w:val="00872951"/>
    <w:rsid w:val="00874312"/>
    <w:rsid w:val="0087437C"/>
    <w:rsid w:val="008743E8"/>
    <w:rsid w:val="00875CD7"/>
    <w:rsid w:val="008765F6"/>
    <w:rsid w:val="00876B4D"/>
    <w:rsid w:val="00876C1F"/>
    <w:rsid w:val="00876CA5"/>
    <w:rsid w:val="00876E46"/>
    <w:rsid w:val="00876F28"/>
    <w:rsid w:val="00877B3A"/>
    <w:rsid w:val="00877F18"/>
    <w:rsid w:val="0088028B"/>
    <w:rsid w:val="00880705"/>
    <w:rsid w:val="00880F70"/>
    <w:rsid w:val="008813D3"/>
    <w:rsid w:val="00881C47"/>
    <w:rsid w:val="0088223C"/>
    <w:rsid w:val="0088265B"/>
    <w:rsid w:val="00883A42"/>
    <w:rsid w:val="00884AF5"/>
    <w:rsid w:val="00884D63"/>
    <w:rsid w:val="00884FDF"/>
    <w:rsid w:val="00887014"/>
    <w:rsid w:val="00887188"/>
    <w:rsid w:val="0088723B"/>
    <w:rsid w:val="008873F6"/>
    <w:rsid w:val="00887EC8"/>
    <w:rsid w:val="00887FDE"/>
    <w:rsid w:val="00890036"/>
    <w:rsid w:val="00890BAF"/>
    <w:rsid w:val="00890D99"/>
    <w:rsid w:val="00891202"/>
    <w:rsid w:val="00891265"/>
    <w:rsid w:val="008921FB"/>
    <w:rsid w:val="008922CE"/>
    <w:rsid w:val="0089389E"/>
    <w:rsid w:val="008938E5"/>
    <w:rsid w:val="008938E8"/>
    <w:rsid w:val="008941E3"/>
    <w:rsid w:val="00894430"/>
    <w:rsid w:val="00894A88"/>
    <w:rsid w:val="00895386"/>
    <w:rsid w:val="0089549A"/>
    <w:rsid w:val="0089565D"/>
    <w:rsid w:val="00896358"/>
    <w:rsid w:val="00896599"/>
    <w:rsid w:val="008978CB"/>
    <w:rsid w:val="008A0549"/>
    <w:rsid w:val="008A07AF"/>
    <w:rsid w:val="008A0CCC"/>
    <w:rsid w:val="008A13A2"/>
    <w:rsid w:val="008A15D9"/>
    <w:rsid w:val="008A19A0"/>
    <w:rsid w:val="008A209E"/>
    <w:rsid w:val="008A21FF"/>
    <w:rsid w:val="008A2435"/>
    <w:rsid w:val="008A2CE2"/>
    <w:rsid w:val="008A30AC"/>
    <w:rsid w:val="008A3964"/>
    <w:rsid w:val="008A3F8C"/>
    <w:rsid w:val="008A4014"/>
    <w:rsid w:val="008A4422"/>
    <w:rsid w:val="008A44B8"/>
    <w:rsid w:val="008A471E"/>
    <w:rsid w:val="008A505D"/>
    <w:rsid w:val="008A51A8"/>
    <w:rsid w:val="008A54C7"/>
    <w:rsid w:val="008A6173"/>
    <w:rsid w:val="008A6862"/>
    <w:rsid w:val="008A77D8"/>
    <w:rsid w:val="008B00C3"/>
    <w:rsid w:val="008B0483"/>
    <w:rsid w:val="008B0745"/>
    <w:rsid w:val="008B0FA5"/>
    <w:rsid w:val="008B120C"/>
    <w:rsid w:val="008B17E4"/>
    <w:rsid w:val="008B28EF"/>
    <w:rsid w:val="008B34D8"/>
    <w:rsid w:val="008B433D"/>
    <w:rsid w:val="008B4922"/>
    <w:rsid w:val="008B51A0"/>
    <w:rsid w:val="008B57E2"/>
    <w:rsid w:val="008B592A"/>
    <w:rsid w:val="008B5B4B"/>
    <w:rsid w:val="008B5D9C"/>
    <w:rsid w:val="008B5F91"/>
    <w:rsid w:val="008B5FDD"/>
    <w:rsid w:val="008B61A6"/>
    <w:rsid w:val="008B7B5C"/>
    <w:rsid w:val="008C02A7"/>
    <w:rsid w:val="008C0C99"/>
    <w:rsid w:val="008C2017"/>
    <w:rsid w:val="008C27E4"/>
    <w:rsid w:val="008C4786"/>
    <w:rsid w:val="008C4958"/>
    <w:rsid w:val="008C4969"/>
    <w:rsid w:val="008C4BAA"/>
    <w:rsid w:val="008C5253"/>
    <w:rsid w:val="008C5E9B"/>
    <w:rsid w:val="008C6AE8"/>
    <w:rsid w:val="008C7155"/>
    <w:rsid w:val="008C7542"/>
    <w:rsid w:val="008C7573"/>
    <w:rsid w:val="008D00A5"/>
    <w:rsid w:val="008D0405"/>
    <w:rsid w:val="008D0852"/>
    <w:rsid w:val="008D0C62"/>
    <w:rsid w:val="008D0F83"/>
    <w:rsid w:val="008D1682"/>
    <w:rsid w:val="008D16BC"/>
    <w:rsid w:val="008D1A36"/>
    <w:rsid w:val="008D2414"/>
    <w:rsid w:val="008D34F1"/>
    <w:rsid w:val="008D39D8"/>
    <w:rsid w:val="008D3F73"/>
    <w:rsid w:val="008D42B9"/>
    <w:rsid w:val="008D4E27"/>
    <w:rsid w:val="008D5285"/>
    <w:rsid w:val="008D59F8"/>
    <w:rsid w:val="008D6927"/>
    <w:rsid w:val="008D6D1A"/>
    <w:rsid w:val="008D6DAC"/>
    <w:rsid w:val="008D6DF1"/>
    <w:rsid w:val="008D7A5F"/>
    <w:rsid w:val="008E034F"/>
    <w:rsid w:val="008E065E"/>
    <w:rsid w:val="008E07EA"/>
    <w:rsid w:val="008E0816"/>
    <w:rsid w:val="008E0927"/>
    <w:rsid w:val="008E1637"/>
    <w:rsid w:val="008E1656"/>
    <w:rsid w:val="008E1909"/>
    <w:rsid w:val="008E1A8A"/>
    <w:rsid w:val="008E1D0F"/>
    <w:rsid w:val="008E20E6"/>
    <w:rsid w:val="008E24A8"/>
    <w:rsid w:val="008E3351"/>
    <w:rsid w:val="008E3500"/>
    <w:rsid w:val="008E48F7"/>
    <w:rsid w:val="008E4D4C"/>
    <w:rsid w:val="008E6653"/>
    <w:rsid w:val="008E6D71"/>
    <w:rsid w:val="008E74A8"/>
    <w:rsid w:val="008E7C87"/>
    <w:rsid w:val="008F113B"/>
    <w:rsid w:val="008F1C4E"/>
    <w:rsid w:val="008F1C60"/>
    <w:rsid w:val="008F1EAB"/>
    <w:rsid w:val="008F2467"/>
    <w:rsid w:val="008F2979"/>
    <w:rsid w:val="008F2C13"/>
    <w:rsid w:val="008F2D8A"/>
    <w:rsid w:val="008F33DC"/>
    <w:rsid w:val="008F3407"/>
    <w:rsid w:val="008F3C13"/>
    <w:rsid w:val="008F477F"/>
    <w:rsid w:val="008F4909"/>
    <w:rsid w:val="008F49EE"/>
    <w:rsid w:val="008F4D8F"/>
    <w:rsid w:val="008F5C42"/>
    <w:rsid w:val="008F5DEB"/>
    <w:rsid w:val="008F6255"/>
    <w:rsid w:val="008F6D6E"/>
    <w:rsid w:val="008F73D2"/>
    <w:rsid w:val="008F771A"/>
    <w:rsid w:val="00900928"/>
    <w:rsid w:val="00902350"/>
    <w:rsid w:val="0090336B"/>
    <w:rsid w:val="00904965"/>
    <w:rsid w:val="00904AF7"/>
    <w:rsid w:val="00905384"/>
    <w:rsid w:val="009053AA"/>
    <w:rsid w:val="00905803"/>
    <w:rsid w:val="009060A7"/>
    <w:rsid w:val="009060CD"/>
    <w:rsid w:val="0090673E"/>
    <w:rsid w:val="00906939"/>
    <w:rsid w:val="00906ED2"/>
    <w:rsid w:val="0090749B"/>
    <w:rsid w:val="009100E6"/>
    <w:rsid w:val="00910B7D"/>
    <w:rsid w:val="00911DFB"/>
    <w:rsid w:val="0091236C"/>
    <w:rsid w:val="00912636"/>
    <w:rsid w:val="00912A49"/>
    <w:rsid w:val="00912C3A"/>
    <w:rsid w:val="00912E50"/>
    <w:rsid w:val="00913279"/>
    <w:rsid w:val="009139D9"/>
    <w:rsid w:val="0091436C"/>
    <w:rsid w:val="00914AD8"/>
    <w:rsid w:val="00915494"/>
    <w:rsid w:val="00915924"/>
    <w:rsid w:val="00916079"/>
    <w:rsid w:val="00916583"/>
    <w:rsid w:val="00917097"/>
    <w:rsid w:val="00917C5E"/>
    <w:rsid w:val="00917CE9"/>
    <w:rsid w:val="00920BF2"/>
    <w:rsid w:val="00920C3D"/>
    <w:rsid w:val="00920F29"/>
    <w:rsid w:val="009214BF"/>
    <w:rsid w:val="00921A95"/>
    <w:rsid w:val="00921B97"/>
    <w:rsid w:val="00922010"/>
    <w:rsid w:val="00922C5C"/>
    <w:rsid w:val="0092310F"/>
    <w:rsid w:val="009234D5"/>
    <w:rsid w:val="009235D4"/>
    <w:rsid w:val="0092389D"/>
    <w:rsid w:val="0092412F"/>
    <w:rsid w:val="00924470"/>
    <w:rsid w:val="0092476F"/>
    <w:rsid w:val="0092480B"/>
    <w:rsid w:val="00924BE6"/>
    <w:rsid w:val="00925847"/>
    <w:rsid w:val="00925964"/>
    <w:rsid w:val="009262E8"/>
    <w:rsid w:val="00926B66"/>
    <w:rsid w:val="0092741E"/>
    <w:rsid w:val="00930005"/>
    <w:rsid w:val="00930435"/>
    <w:rsid w:val="00930E84"/>
    <w:rsid w:val="00931578"/>
    <w:rsid w:val="00931BD9"/>
    <w:rsid w:val="00931C66"/>
    <w:rsid w:val="009321AE"/>
    <w:rsid w:val="00932492"/>
    <w:rsid w:val="009340E1"/>
    <w:rsid w:val="00934185"/>
    <w:rsid w:val="009341DD"/>
    <w:rsid w:val="0093455E"/>
    <w:rsid w:val="009348C1"/>
    <w:rsid w:val="00934D19"/>
    <w:rsid w:val="0093561A"/>
    <w:rsid w:val="009356C1"/>
    <w:rsid w:val="00935960"/>
    <w:rsid w:val="00935C41"/>
    <w:rsid w:val="00935C4E"/>
    <w:rsid w:val="00935E5C"/>
    <w:rsid w:val="009368F3"/>
    <w:rsid w:val="00936E64"/>
    <w:rsid w:val="00937506"/>
    <w:rsid w:val="009406F5"/>
    <w:rsid w:val="00941636"/>
    <w:rsid w:val="009419B0"/>
    <w:rsid w:val="00941DEC"/>
    <w:rsid w:val="00943742"/>
    <w:rsid w:val="00943A0C"/>
    <w:rsid w:val="00943EB7"/>
    <w:rsid w:val="00944CC5"/>
    <w:rsid w:val="00944CE4"/>
    <w:rsid w:val="00945839"/>
    <w:rsid w:val="00945C05"/>
    <w:rsid w:val="009461A3"/>
    <w:rsid w:val="00946945"/>
    <w:rsid w:val="0094752A"/>
    <w:rsid w:val="00947713"/>
    <w:rsid w:val="0094772F"/>
    <w:rsid w:val="009478B7"/>
    <w:rsid w:val="009478E4"/>
    <w:rsid w:val="00947EAC"/>
    <w:rsid w:val="00950434"/>
    <w:rsid w:val="00950B96"/>
    <w:rsid w:val="00950DE7"/>
    <w:rsid w:val="00950E44"/>
    <w:rsid w:val="00951600"/>
    <w:rsid w:val="00951CF7"/>
    <w:rsid w:val="0095215F"/>
    <w:rsid w:val="0095275D"/>
    <w:rsid w:val="00952C4D"/>
    <w:rsid w:val="00953920"/>
    <w:rsid w:val="00953C61"/>
    <w:rsid w:val="00953D2A"/>
    <w:rsid w:val="00953D47"/>
    <w:rsid w:val="0095449C"/>
    <w:rsid w:val="009544F2"/>
    <w:rsid w:val="0095460C"/>
    <w:rsid w:val="009549EC"/>
    <w:rsid w:val="00954AE4"/>
    <w:rsid w:val="0095562A"/>
    <w:rsid w:val="00955E03"/>
    <w:rsid w:val="0095633F"/>
    <w:rsid w:val="0095664D"/>
    <w:rsid w:val="0095681E"/>
    <w:rsid w:val="0095682C"/>
    <w:rsid w:val="00956AD3"/>
    <w:rsid w:val="00957227"/>
    <w:rsid w:val="009572CF"/>
    <w:rsid w:val="009572D4"/>
    <w:rsid w:val="00957774"/>
    <w:rsid w:val="00957C78"/>
    <w:rsid w:val="009615B1"/>
    <w:rsid w:val="00961921"/>
    <w:rsid w:val="00961C5C"/>
    <w:rsid w:val="0096271D"/>
    <w:rsid w:val="00962BF0"/>
    <w:rsid w:val="00963172"/>
    <w:rsid w:val="009636D5"/>
    <w:rsid w:val="0096430A"/>
    <w:rsid w:val="00964A6D"/>
    <w:rsid w:val="00964F81"/>
    <w:rsid w:val="0096554B"/>
    <w:rsid w:val="0096584A"/>
    <w:rsid w:val="00965EBE"/>
    <w:rsid w:val="00967293"/>
    <w:rsid w:val="0096734F"/>
    <w:rsid w:val="0096784B"/>
    <w:rsid w:val="00967AC9"/>
    <w:rsid w:val="0097001B"/>
    <w:rsid w:val="00970297"/>
    <w:rsid w:val="0097073F"/>
    <w:rsid w:val="00971EED"/>
    <w:rsid w:val="00971F08"/>
    <w:rsid w:val="00971FFF"/>
    <w:rsid w:val="0097234E"/>
    <w:rsid w:val="0097268B"/>
    <w:rsid w:val="00972838"/>
    <w:rsid w:val="00972C30"/>
    <w:rsid w:val="00973B50"/>
    <w:rsid w:val="00973F2D"/>
    <w:rsid w:val="00974892"/>
    <w:rsid w:val="0097502D"/>
    <w:rsid w:val="0097603D"/>
    <w:rsid w:val="00976949"/>
    <w:rsid w:val="00976F9F"/>
    <w:rsid w:val="00977101"/>
    <w:rsid w:val="00977EEB"/>
    <w:rsid w:val="0098028C"/>
    <w:rsid w:val="00980477"/>
    <w:rsid w:val="00980FEF"/>
    <w:rsid w:val="009826AC"/>
    <w:rsid w:val="00982968"/>
    <w:rsid w:val="00982982"/>
    <w:rsid w:val="00982A45"/>
    <w:rsid w:val="00982DF8"/>
    <w:rsid w:val="009832F0"/>
    <w:rsid w:val="00983B47"/>
    <w:rsid w:val="00983BC4"/>
    <w:rsid w:val="00984471"/>
    <w:rsid w:val="00985253"/>
    <w:rsid w:val="009853B3"/>
    <w:rsid w:val="009856F3"/>
    <w:rsid w:val="00985B39"/>
    <w:rsid w:val="00985C1C"/>
    <w:rsid w:val="00985CD5"/>
    <w:rsid w:val="009861E7"/>
    <w:rsid w:val="00986542"/>
    <w:rsid w:val="0098675A"/>
    <w:rsid w:val="0099048C"/>
    <w:rsid w:val="009904B2"/>
    <w:rsid w:val="00990516"/>
    <w:rsid w:val="00990630"/>
    <w:rsid w:val="00990D18"/>
    <w:rsid w:val="00990ECE"/>
    <w:rsid w:val="00991761"/>
    <w:rsid w:val="00992AB5"/>
    <w:rsid w:val="00992D72"/>
    <w:rsid w:val="00993F71"/>
    <w:rsid w:val="00994569"/>
    <w:rsid w:val="00994DCA"/>
    <w:rsid w:val="00995437"/>
    <w:rsid w:val="00995EC3"/>
    <w:rsid w:val="009960EC"/>
    <w:rsid w:val="00996193"/>
    <w:rsid w:val="009966F6"/>
    <w:rsid w:val="009970DD"/>
    <w:rsid w:val="00997182"/>
    <w:rsid w:val="009A0654"/>
    <w:rsid w:val="009A085B"/>
    <w:rsid w:val="009A0C4F"/>
    <w:rsid w:val="009A0D8C"/>
    <w:rsid w:val="009A0FBA"/>
    <w:rsid w:val="009A1601"/>
    <w:rsid w:val="009A24D9"/>
    <w:rsid w:val="009A324A"/>
    <w:rsid w:val="009A3BB6"/>
    <w:rsid w:val="009A3CF6"/>
    <w:rsid w:val="009A462D"/>
    <w:rsid w:val="009A4F94"/>
    <w:rsid w:val="009A5080"/>
    <w:rsid w:val="009A50BE"/>
    <w:rsid w:val="009A5CBA"/>
    <w:rsid w:val="009A604C"/>
    <w:rsid w:val="009A6384"/>
    <w:rsid w:val="009A66DC"/>
    <w:rsid w:val="009A6D1D"/>
    <w:rsid w:val="009A79BC"/>
    <w:rsid w:val="009A7E4E"/>
    <w:rsid w:val="009B0237"/>
    <w:rsid w:val="009B05A2"/>
    <w:rsid w:val="009B09A4"/>
    <w:rsid w:val="009B1000"/>
    <w:rsid w:val="009B139E"/>
    <w:rsid w:val="009B1F30"/>
    <w:rsid w:val="009B2078"/>
    <w:rsid w:val="009B2950"/>
    <w:rsid w:val="009B3AC2"/>
    <w:rsid w:val="009B3FC8"/>
    <w:rsid w:val="009B4DF4"/>
    <w:rsid w:val="009B508E"/>
    <w:rsid w:val="009B53A7"/>
    <w:rsid w:val="009B564E"/>
    <w:rsid w:val="009B5C14"/>
    <w:rsid w:val="009B6CB4"/>
    <w:rsid w:val="009B7644"/>
    <w:rsid w:val="009B795F"/>
    <w:rsid w:val="009B7C44"/>
    <w:rsid w:val="009B7DE9"/>
    <w:rsid w:val="009B7E87"/>
    <w:rsid w:val="009C0169"/>
    <w:rsid w:val="009C03B5"/>
    <w:rsid w:val="009C0AD3"/>
    <w:rsid w:val="009C0B27"/>
    <w:rsid w:val="009C14EF"/>
    <w:rsid w:val="009C1C36"/>
    <w:rsid w:val="009C1FD9"/>
    <w:rsid w:val="009C25F2"/>
    <w:rsid w:val="009C29E0"/>
    <w:rsid w:val="009C2EF4"/>
    <w:rsid w:val="009C3272"/>
    <w:rsid w:val="009C403E"/>
    <w:rsid w:val="009C4216"/>
    <w:rsid w:val="009C4302"/>
    <w:rsid w:val="009C5B08"/>
    <w:rsid w:val="009C5CF9"/>
    <w:rsid w:val="009C6005"/>
    <w:rsid w:val="009C641A"/>
    <w:rsid w:val="009C6BF1"/>
    <w:rsid w:val="009C6D43"/>
    <w:rsid w:val="009C6F7F"/>
    <w:rsid w:val="009C7C42"/>
    <w:rsid w:val="009D0FE4"/>
    <w:rsid w:val="009D1B4B"/>
    <w:rsid w:val="009D2F5D"/>
    <w:rsid w:val="009D3A9A"/>
    <w:rsid w:val="009D3AF3"/>
    <w:rsid w:val="009D4F79"/>
    <w:rsid w:val="009D4FF0"/>
    <w:rsid w:val="009D5A1A"/>
    <w:rsid w:val="009D5AC6"/>
    <w:rsid w:val="009D6219"/>
    <w:rsid w:val="009D62D3"/>
    <w:rsid w:val="009D637F"/>
    <w:rsid w:val="009D6912"/>
    <w:rsid w:val="009D6A0F"/>
    <w:rsid w:val="009D703C"/>
    <w:rsid w:val="009D718F"/>
    <w:rsid w:val="009D762F"/>
    <w:rsid w:val="009D7644"/>
    <w:rsid w:val="009D79FA"/>
    <w:rsid w:val="009E068F"/>
    <w:rsid w:val="009E1210"/>
    <w:rsid w:val="009E141E"/>
    <w:rsid w:val="009E14E0"/>
    <w:rsid w:val="009E19FE"/>
    <w:rsid w:val="009E35DB"/>
    <w:rsid w:val="009E3D78"/>
    <w:rsid w:val="009E3E29"/>
    <w:rsid w:val="009E408B"/>
    <w:rsid w:val="009E47A3"/>
    <w:rsid w:val="009E4AA0"/>
    <w:rsid w:val="009E4DDE"/>
    <w:rsid w:val="009E5471"/>
    <w:rsid w:val="009E5C71"/>
    <w:rsid w:val="009E5D14"/>
    <w:rsid w:val="009E61E3"/>
    <w:rsid w:val="009E6680"/>
    <w:rsid w:val="009E6AF9"/>
    <w:rsid w:val="009F032B"/>
    <w:rsid w:val="009F08F3"/>
    <w:rsid w:val="009F11D4"/>
    <w:rsid w:val="009F2131"/>
    <w:rsid w:val="009F2AB2"/>
    <w:rsid w:val="009F2C93"/>
    <w:rsid w:val="009F2F5D"/>
    <w:rsid w:val="009F32D9"/>
    <w:rsid w:val="009F331D"/>
    <w:rsid w:val="009F344F"/>
    <w:rsid w:val="009F45FF"/>
    <w:rsid w:val="009F5251"/>
    <w:rsid w:val="009F554D"/>
    <w:rsid w:val="009F5CCF"/>
    <w:rsid w:val="009F67B7"/>
    <w:rsid w:val="009F685A"/>
    <w:rsid w:val="009F7DC0"/>
    <w:rsid w:val="00A01D12"/>
    <w:rsid w:val="00A01DEA"/>
    <w:rsid w:val="00A02A2D"/>
    <w:rsid w:val="00A02F27"/>
    <w:rsid w:val="00A031D8"/>
    <w:rsid w:val="00A04256"/>
    <w:rsid w:val="00A046DB"/>
    <w:rsid w:val="00A048A8"/>
    <w:rsid w:val="00A04F04"/>
    <w:rsid w:val="00A04F49"/>
    <w:rsid w:val="00A05321"/>
    <w:rsid w:val="00A0544B"/>
    <w:rsid w:val="00A06558"/>
    <w:rsid w:val="00A06FB3"/>
    <w:rsid w:val="00A07356"/>
    <w:rsid w:val="00A07871"/>
    <w:rsid w:val="00A10364"/>
    <w:rsid w:val="00A106B4"/>
    <w:rsid w:val="00A1070F"/>
    <w:rsid w:val="00A112F7"/>
    <w:rsid w:val="00A11FF6"/>
    <w:rsid w:val="00A12048"/>
    <w:rsid w:val="00A121A4"/>
    <w:rsid w:val="00A13E54"/>
    <w:rsid w:val="00A13F41"/>
    <w:rsid w:val="00A143F2"/>
    <w:rsid w:val="00A144E6"/>
    <w:rsid w:val="00A15635"/>
    <w:rsid w:val="00A15DB0"/>
    <w:rsid w:val="00A163A7"/>
    <w:rsid w:val="00A16E04"/>
    <w:rsid w:val="00A16EAD"/>
    <w:rsid w:val="00A17713"/>
    <w:rsid w:val="00A179C9"/>
    <w:rsid w:val="00A17B6C"/>
    <w:rsid w:val="00A17BFC"/>
    <w:rsid w:val="00A17C2B"/>
    <w:rsid w:val="00A17F63"/>
    <w:rsid w:val="00A17F71"/>
    <w:rsid w:val="00A200EB"/>
    <w:rsid w:val="00A20432"/>
    <w:rsid w:val="00A2073D"/>
    <w:rsid w:val="00A20E7F"/>
    <w:rsid w:val="00A21269"/>
    <w:rsid w:val="00A2193B"/>
    <w:rsid w:val="00A21A46"/>
    <w:rsid w:val="00A2229D"/>
    <w:rsid w:val="00A22AA2"/>
    <w:rsid w:val="00A22CA9"/>
    <w:rsid w:val="00A2351A"/>
    <w:rsid w:val="00A23CAB"/>
    <w:rsid w:val="00A243CE"/>
    <w:rsid w:val="00A24F6D"/>
    <w:rsid w:val="00A2553C"/>
    <w:rsid w:val="00A262EB"/>
    <w:rsid w:val="00A264A9"/>
    <w:rsid w:val="00A26C95"/>
    <w:rsid w:val="00A26CFF"/>
    <w:rsid w:val="00A26DCF"/>
    <w:rsid w:val="00A273F8"/>
    <w:rsid w:val="00A2748A"/>
    <w:rsid w:val="00A27785"/>
    <w:rsid w:val="00A27B1E"/>
    <w:rsid w:val="00A27F47"/>
    <w:rsid w:val="00A30187"/>
    <w:rsid w:val="00A311C3"/>
    <w:rsid w:val="00A3188A"/>
    <w:rsid w:val="00A319C1"/>
    <w:rsid w:val="00A32E3F"/>
    <w:rsid w:val="00A33672"/>
    <w:rsid w:val="00A3448A"/>
    <w:rsid w:val="00A34967"/>
    <w:rsid w:val="00A3536F"/>
    <w:rsid w:val="00A361E8"/>
    <w:rsid w:val="00A36297"/>
    <w:rsid w:val="00A36E45"/>
    <w:rsid w:val="00A3756C"/>
    <w:rsid w:val="00A37DF0"/>
    <w:rsid w:val="00A40466"/>
    <w:rsid w:val="00A404C0"/>
    <w:rsid w:val="00A40563"/>
    <w:rsid w:val="00A40963"/>
    <w:rsid w:val="00A4183F"/>
    <w:rsid w:val="00A41B11"/>
    <w:rsid w:val="00A41E2B"/>
    <w:rsid w:val="00A42430"/>
    <w:rsid w:val="00A435EE"/>
    <w:rsid w:val="00A43CAB"/>
    <w:rsid w:val="00A443AB"/>
    <w:rsid w:val="00A44945"/>
    <w:rsid w:val="00A45394"/>
    <w:rsid w:val="00A45B74"/>
    <w:rsid w:val="00A4603B"/>
    <w:rsid w:val="00A506A2"/>
    <w:rsid w:val="00A514D1"/>
    <w:rsid w:val="00A51FFD"/>
    <w:rsid w:val="00A52A83"/>
    <w:rsid w:val="00A52C89"/>
    <w:rsid w:val="00A52CF6"/>
    <w:rsid w:val="00A52E1D"/>
    <w:rsid w:val="00A54287"/>
    <w:rsid w:val="00A548AB"/>
    <w:rsid w:val="00A554DB"/>
    <w:rsid w:val="00A5623E"/>
    <w:rsid w:val="00A565E6"/>
    <w:rsid w:val="00A577E7"/>
    <w:rsid w:val="00A61130"/>
    <w:rsid w:val="00A61499"/>
    <w:rsid w:val="00A61B82"/>
    <w:rsid w:val="00A61D27"/>
    <w:rsid w:val="00A62300"/>
    <w:rsid w:val="00A62578"/>
    <w:rsid w:val="00A62A77"/>
    <w:rsid w:val="00A62ABD"/>
    <w:rsid w:val="00A62E27"/>
    <w:rsid w:val="00A62EE0"/>
    <w:rsid w:val="00A63483"/>
    <w:rsid w:val="00A6355B"/>
    <w:rsid w:val="00A638FC"/>
    <w:rsid w:val="00A6457F"/>
    <w:rsid w:val="00A646B9"/>
    <w:rsid w:val="00A6471E"/>
    <w:rsid w:val="00A65082"/>
    <w:rsid w:val="00A657D7"/>
    <w:rsid w:val="00A65A26"/>
    <w:rsid w:val="00A660AC"/>
    <w:rsid w:val="00A66562"/>
    <w:rsid w:val="00A673D3"/>
    <w:rsid w:val="00A67E6C"/>
    <w:rsid w:val="00A67F4F"/>
    <w:rsid w:val="00A7088D"/>
    <w:rsid w:val="00A70D1C"/>
    <w:rsid w:val="00A719E0"/>
    <w:rsid w:val="00A71B99"/>
    <w:rsid w:val="00A724F3"/>
    <w:rsid w:val="00A726BD"/>
    <w:rsid w:val="00A72A3D"/>
    <w:rsid w:val="00A731F8"/>
    <w:rsid w:val="00A739CA"/>
    <w:rsid w:val="00A739D0"/>
    <w:rsid w:val="00A746A6"/>
    <w:rsid w:val="00A74FFC"/>
    <w:rsid w:val="00A761D4"/>
    <w:rsid w:val="00A76769"/>
    <w:rsid w:val="00A7678D"/>
    <w:rsid w:val="00A76917"/>
    <w:rsid w:val="00A77EA9"/>
    <w:rsid w:val="00A77EC4"/>
    <w:rsid w:val="00A801B1"/>
    <w:rsid w:val="00A804EF"/>
    <w:rsid w:val="00A8088E"/>
    <w:rsid w:val="00A80B29"/>
    <w:rsid w:val="00A80D23"/>
    <w:rsid w:val="00A81196"/>
    <w:rsid w:val="00A820A1"/>
    <w:rsid w:val="00A83E34"/>
    <w:rsid w:val="00A83F8B"/>
    <w:rsid w:val="00A83F97"/>
    <w:rsid w:val="00A85496"/>
    <w:rsid w:val="00A8551A"/>
    <w:rsid w:val="00A86A92"/>
    <w:rsid w:val="00A86FB1"/>
    <w:rsid w:val="00A87B11"/>
    <w:rsid w:val="00A901AA"/>
    <w:rsid w:val="00A903DE"/>
    <w:rsid w:val="00A90BFA"/>
    <w:rsid w:val="00A90DD3"/>
    <w:rsid w:val="00A91E4F"/>
    <w:rsid w:val="00A91EE8"/>
    <w:rsid w:val="00A92879"/>
    <w:rsid w:val="00A93419"/>
    <w:rsid w:val="00A9442A"/>
    <w:rsid w:val="00A94479"/>
    <w:rsid w:val="00A946B8"/>
    <w:rsid w:val="00A94F38"/>
    <w:rsid w:val="00A95A05"/>
    <w:rsid w:val="00A95ED4"/>
    <w:rsid w:val="00A9621A"/>
    <w:rsid w:val="00A96B11"/>
    <w:rsid w:val="00A97029"/>
    <w:rsid w:val="00A9738B"/>
    <w:rsid w:val="00A97651"/>
    <w:rsid w:val="00A97D71"/>
    <w:rsid w:val="00A97DBD"/>
    <w:rsid w:val="00AA0107"/>
    <w:rsid w:val="00AA016F"/>
    <w:rsid w:val="00AA1ED6"/>
    <w:rsid w:val="00AA27C6"/>
    <w:rsid w:val="00AA2C75"/>
    <w:rsid w:val="00AA332F"/>
    <w:rsid w:val="00AA4389"/>
    <w:rsid w:val="00AA4E5D"/>
    <w:rsid w:val="00AA50E5"/>
    <w:rsid w:val="00AA5109"/>
    <w:rsid w:val="00AA51D6"/>
    <w:rsid w:val="00AA5E74"/>
    <w:rsid w:val="00AA64FB"/>
    <w:rsid w:val="00AA68ED"/>
    <w:rsid w:val="00AA6C41"/>
    <w:rsid w:val="00AA6D98"/>
    <w:rsid w:val="00AA7122"/>
    <w:rsid w:val="00AA75E6"/>
    <w:rsid w:val="00AA7843"/>
    <w:rsid w:val="00AA7B90"/>
    <w:rsid w:val="00AB065B"/>
    <w:rsid w:val="00AB0BC8"/>
    <w:rsid w:val="00AB0CB3"/>
    <w:rsid w:val="00AB11CA"/>
    <w:rsid w:val="00AB1205"/>
    <w:rsid w:val="00AB14D9"/>
    <w:rsid w:val="00AB1542"/>
    <w:rsid w:val="00AB1A96"/>
    <w:rsid w:val="00AB1AC1"/>
    <w:rsid w:val="00AB1D2E"/>
    <w:rsid w:val="00AB247A"/>
    <w:rsid w:val="00AB2490"/>
    <w:rsid w:val="00AB28E2"/>
    <w:rsid w:val="00AB36B6"/>
    <w:rsid w:val="00AB3B23"/>
    <w:rsid w:val="00AB3BE2"/>
    <w:rsid w:val="00AB40EB"/>
    <w:rsid w:val="00AB4474"/>
    <w:rsid w:val="00AB47E2"/>
    <w:rsid w:val="00AB4AB8"/>
    <w:rsid w:val="00AB555D"/>
    <w:rsid w:val="00AB5AB9"/>
    <w:rsid w:val="00AB5FBB"/>
    <w:rsid w:val="00AB6077"/>
    <w:rsid w:val="00AB6218"/>
    <w:rsid w:val="00AB655E"/>
    <w:rsid w:val="00AB6940"/>
    <w:rsid w:val="00AB6A8A"/>
    <w:rsid w:val="00AB7828"/>
    <w:rsid w:val="00AC007F"/>
    <w:rsid w:val="00AC0335"/>
    <w:rsid w:val="00AC112A"/>
    <w:rsid w:val="00AC149F"/>
    <w:rsid w:val="00AC1F3D"/>
    <w:rsid w:val="00AC22BB"/>
    <w:rsid w:val="00AC2ECD"/>
    <w:rsid w:val="00AC3119"/>
    <w:rsid w:val="00AC3259"/>
    <w:rsid w:val="00AC3523"/>
    <w:rsid w:val="00AC3718"/>
    <w:rsid w:val="00AC37C0"/>
    <w:rsid w:val="00AC3F7B"/>
    <w:rsid w:val="00AC45B9"/>
    <w:rsid w:val="00AC45DE"/>
    <w:rsid w:val="00AC49FB"/>
    <w:rsid w:val="00AC4F6B"/>
    <w:rsid w:val="00AC5038"/>
    <w:rsid w:val="00AC53F4"/>
    <w:rsid w:val="00AC5936"/>
    <w:rsid w:val="00AC5A10"/>
    <w:rsid w:val="00AC650D"/>
    <w:rsid w:val="00AC7D36"/>
    <w:rsid w:val="00AC7E56"/>
    <w:rsid w:val="00AD09C4"/>
    <w:rsid w:val="00AD0AA3"/>
    <w:rsid w:val="00AD155A"/>
    <w:rsid w:val="00AD180D"/>
    <w:rsid w:val="00AD24C3"/>
    <w:rsid w:val="00AD2ED0"/>
    <w:rsid w:val="00AD3F94"/>
    <w:rsid w:val="00AD4300"/>
    <w:rsid w:val="00AD4A5A"/>
    <w:rsid w:val="00AD6A0B"/>
    <w:rsid w:val="00AD6A60"/>
    <w:rsid w:val="00AD724D"/>
    <w:rsid w:val="00AE0894"/>
    <w:rsid w:val="00AE0903"/>
    <w:rsid w:val="00AE0B79"/>
    <w:rsid w:val="00AE0F84"/>
    <w:rsid w:val="00AE1743"/>
    <w:rsid w:val="00AE1B0C"/>
    <w:rsid w:val="00AE22A5"/>
    <w:rsid w:val="00AE27AC"/>
    <w:rsid w:val="00AE2FA7"/>
    <w:rsid w:val="00AE3812"/>
    <w:rsid w:val="00AE3F7F"/>
    <w:rsid w:val="00AE40E0"/>
    <w:rsid w:val="00AE421C"/>
    <w:rsid w:val="00AE4AB4"/>
    <w:rsid w:val="00AE4CDF"/>
    <w:rsid w:val="00AE4DBA"/>
    <w:rsid w:val="00AE4F07"/>
    <w:rsid w:val="00AE64C7"/>
    <w:rsid w:val="00AE6598"/>
    <w:rsid w:val="00AE684F"/>
    <w:rsid w:val="00AE7AFB"/>
    <w:rsid w:val="00AE7D1D"/>
    <w:rsid w:val="00AE7EE0"/>
    <w:rsid w:val="00AE7FEF"/>
    <w:rsid w:val="00AF02F5"/>
    <w:rsid w:val="00AF184A"/>
    <w:rsid w:val="00AF1C5D"/>
    <w:rsid w:val="00AF2813"/>
    <w:rsid w:val="00AF28C4"/>
    <w:rsid w:val="00AF3114"/>
    <w:rsid w:val="00AF41DC"/>
    <w:rsid w:val="00AF42D7"/>
    <w:rsid w:val="00AF4D90"/>
    <w:rsid w:val="00AF55F4"/>
    <w:rsid w:val="00AF64BF"/>
    <w:rsid w:val="00AF7E33"/>
    <w:rsid w:val="00B006FE"/>
    <w:rsid w:val="00B007CB"/>
    <w:rsid w:val="00B008AB"/>
    <w:rsid w:val="00B018A9"/>
    <w:rsid w:val="00B02AA9"/>
    <w:rsid w:val="00B02FA3"/>
    <w:rsid w:val="00B03991"/>
    <w:rsid w:val="00B03B57"/>
    <w:rsid w:val="00B0416C"/>
    <w:rsid w:val="00B05084"/>
    <w:rsid w:val="00B058FF"/>
    <w:rsid w:val="00B05B25"/>
    <w:rsid w:val="00B05DD1"/>
    <w:rsid w:val="00B06E21"/>
    <w:rsid w:val="00B0755F"/>
    <w:rsid w:val="00B10874"/>
    <w:rsid w:val="00B109D2"/>
    <w:rsid w:val="00B10A86"/>
    <w:rsid w:val="00B113A7"/>
    <w:rsid w:val="00B11E61"/>
    <w:rsid w:val="00B12B6C"/>
    <w:rsid w:val="00B135FE"/>
    <w:rsid w:val="00B139DC"/>
    <w:rsid w:val="00B14794"/>
    <w:rsid w:val="00B15544"/>
    <w:rsid w:val="00B15602"/>
    <w:rsid w:val="00B157F9"/>
    <w:rsid w:val="00B15A14"/>
    <w:rsid w:val="00B15D8F"/>
    <w:rsid w:val="00B16101"/>
    <w:rsid w:val="00B169F5"/>
    <w:rsid w:val="00B16A8B"/>
    <w:rsid w:val="00B16CBD"/>
    <w:rsid w:val="00B17EF7"/>
    <w:rsid w:val="00B20256"/>
    <w:rsid w:val="00B20288"/>
    <w:rsid w:val="00B20343"/>
    <w:rsid w:val="00B204D9"/>
    <w:rsid w:val="00B20D09"/>
    <w:rsid w:val="00B2158A"/>
    <w:rsid w:val="00B21D13"/>
    <w:rsid w:val="00B21F86"/>
    <w:rsid w:val="00B220B6"/>
    <w:rsid w:val="00B222D9"/>
    <w:rsid w:val="00B223DB"/>
    <w:rsid w:val="00B24B75"/>
    <w:rsid w:val="00B25C86"/>
    <w:rsid w:val="00B26455"/>
    <w:rsid w:val="00B26F63"/>
    <w:rsid w:val="00B2763F"/>
    <w:rsid w:val="00B27AAC"/>
    <w:rsid w:val="00B27D1D"/>
    <w:rsid w:val="00B27ED2"/>
    <w:rsid w:val="00B27EF2"/>
    <w:rsid w:val="00B3018C"/>
    <w:rsid w:val="00B30929"/>
    <w:rsid w:val="00B31315"/>
    <w:rsid w:val="00B31CEE"/>
    <w:rsid w:val="00B3287A"/>
    <w:rsid w:val="00B34888"/>
    <w:rsid w:val="00B34E2D"/>
    <w:rsid w:val="00B3532F"/>
    <w:rsid w:val="00B36367"/>
    <w:rsid w:val="00B36B37"/>
    <w:rsid w:val="00B36D00"/>
    <w:rsid w:val="00B372AA"/>
    <w:rsid w:val="00B37677"/>
    <w:rsid w:val="00B37AA6"/>
    <w:rsid w:val="00B40240"/>
    <w:rsid w:val="00B40445"/>
    <w:rsid w:val="00B409E0"/>
    <w:rsid w:val="00B40AD0"/>
    <w:rsid w:val="00B40D34"/>
    <w:rsid w:val="00B41302"/>
    <w:rsid w:val="00B4186D"/>
    <w:rsid w:val="00B41888"/>
    <w:rsid w:val="00B41B95"/>
    <w:rsid w:val="00B41E9C"/>
    <w:rsid w:val="00B42BAE"/>
    <w:rsid w:val="00B43169"/>
    <w:rsid w:val="00B43496"/>
    <w:rsid w:val="00B43A13"/>
    <w:rsid w:val="00B4475F"/>
    <w:rsid w:val="00B455E3"/>
    <w:rsid w:val="00B45A52"/>
    <w:rsid w:val="00B45C47"/>
    <w:rsid w:val="00B46175"/>
    <w:rsid w:val="00B4620C"/>
    <w:rsid w:val="00B4688A"/>
    <w:rsid w:val="00B47037"/>
    <w:rsid w:val="00B47802"/>
    <w:rsid w:val="00B50483"/>
    <w:rsid w:val="00B5097E"/>
    <w:rsid w:val="00B50DF6"/>
    <w:rsid w:val="00B5387F"/>
    <w:rsid w:val="00B53B2F"/>
    <w:rsid w:val="00B53D76"/>
    <w:rsid w:val="00B53F0F"/>
    <w:rsid w:val="00B540A2"/>
    <w:rsid w:val="00B5450F"/>
    <w:rsid w:val="00B548B7"/>
    <w:rsid w:val="00B54C77"/>
    <w:rsid w:val="00B565BC"/>
    <w:rsid w:val="00B568D6"/>
    <w:rsid w:val="00B57177"/>
    <w:rsid w:val="00B5768C"/>
    <w:rsid w:val="00B57946"/>
    <w:rsid w:val="00B6037B"/>
    <w:rsid w:val="00B608C2"/>
    <w:rsid w:val="00B61839"/>
    <w:rsid w:val="00B61AA8"/>
    <w:rsid w:val="00B61FB9"/>
    <w:rsid w:val="00B62864"/>
    <w:rsid w:val="00B6356F"/>
    <w:rsid w:val="00B63611"/>
    <w:rsid w:val="00B63D71"/>
    <w:rsid w:val="00B64A96"/>
    <w:rsid w:val="00B655FA"/>
    <w:rsid w:val="00B6561D"/>
    <w:rsid w:val="00B661ED"/>
    <w:rsid w:val="00B66255"/>
    <w:rsid w:val="00B664C7"/>
    <w:rsid w:val="00B66B9E"/>
    <w:rsid w:val="00B678BC"/>
    <w:rsid w:val="00B715D8"/>
    <w:rsid w:val="00B717F2"/>
    <w:rsid w:val="00B723AF"/>
    <w:rsid w:val="00B72A74"/>
    <w:rsid w:val="00B73908"/>
    <w:rsid w:val="00B7392A"/>
    <w:rsid w:val="00B739F6"/>
    <w:rsid w:val="00B73C34"/>
    <w:rsid w:val="00B74732"/>
    <w:rsid w:val="00B74E5F"/>
    <w:rsid w:val="00B75C50"/>
    <w:rsid w:val="00B761FE"/>
    <w:rsid w:val="00B763AE"/>
    <w:rsid w:val="00B76ED6"/>
    <w:rsid w:val="00B772EB"/>
    <w:rsid w:val="00B779A2"/>
    <w:rsid w:val="00B77C1D"/>
    <w:rsid w:val="00B8091F"/>
    <w:rsid w:val="00B810F1"/>
    <w:rsid w:val="00B81A6C"/>
    <w:rsid w:val="00B82BAA"/>
    <w:rsid w:val="00B82ED2"/>
    <w:rsid w:val="00B83426"/>
    <w:rsid w:val="00B83827"/>
    <w:rsid w:val="00B843C9"/>
    <w:rsid w:val="00B846AC"/>
    <w:rsid w:val="00B84BA2"/>
    <w:rsid w:val="00B84CE1"/>
    <w:rsid w:val="00B8542D"/>
    <w:rsid w:val="00B85DE5"/>
    <w:rsid w:val="00B85F90"/>
    <w:rsid w:val="00B90D11"/>
    <w:rsid w:val="00B90F73"/>
    <w:rsid w:val="00B912D2"/>
    <w:rsid w:val="00B915FD"/>
    <w:rsid w:val="00B917C6"/>
    <w:rsid w:val="00B91AB4"/>
    <w:rsid w:val="00B91ACF"/>
    <w:rsid w:val="00B91E6F"/>
    <w:rsid w:val="00B920E7"/>
    <w:rsid w:val="00B92135"/>
    <w:rsid w:val="00B927B9"/>
    <w:rsid w:val="00B928CE"/>
    <w:rsid w:val="00B92929"/>
    <w:rsid w:val="00B9379E"/>
    <w:rsid w:val="00B93801"/>
    <w:rsid w:val="00B938B2"/>
    <w:rsid w:val="00B93AFC"/>
    <w:rsid w:val="00B93B59"/>
    <w:rsid w:val="00B9406A"/>
    <w:rsid w:val="00B94767"/>
    <w:rsid w:val="00B94BC4"/>
    <w:rsid w:val="00B94F79"/>
    <w:rsid w:val="00B95150"/>
    <w:rsid w:val="00B956FB"/>
    <w:rsid w:val="00B95A3C"/>
    <w:rsid w:val="00B96541"/>
    <w:rsid w:val="00BA0ED6"/>
    <w:rsid w:val="00BA12C9"/>
    <w:rsid w:val="00BA172B"/>
    <w:rsid w:val="00BA1B62"/>
    <w:rsid w:val="00BA2280"/>
    <w:rsid w:val="00BA24F9"/>
    <w:rsid w:val="00BA27EB"/>
    <w:rsid w:val="00BA2A08"/>
    <w:rsid w:val="00BA2E62"/>
    <w:rsid w:val="00BA39F4"/>
    <w:rsid w:val="00BA3FC6"/>
    <w:rsid w:val="00BA482C"/>
    <w:rsid w:val="00BA529F"/>
    <w:rsid w:val="00BA56B0"/>
    <w:rsid w:val="00BA56D2"/>
    <w:rsid w:val="00BA56E3"/>
    <w:rsid w:val="00BA61F0"/>
    <w:rsid w:val="00BA6EC4"/>
    <w:rsid w:val="00BA6EFB"/>
    <w:rsid w:val="00BA748F"/>
    <w:rsid w:val="00BA76E0"/>
    <w:rsid w:val="00BA78F1"/>
    <w:rsid w:val="00BB00FC"/>
    <w:rsid w:val="00BB1331"/>
    <w:rsid w:val="00BB2308"/>
    <w:rsid w:val="00BB2321"/>
    <w:rsid w:val="00BB295F"/>
    <w:rsid w:val="00BB2A25"/>
    <w:rsid w:val="00BB2FDE"/>
    <w:rsid w:val="00BB3D42"/>
    <w:rsid w:val="00BB41D6"/>
    <w:rsid w:val="00BB4D65"/>
    <w:rsid w:val="00BB51CC"/>
    <w:rsid w:val="00BB51E9"/>
    <w:rsid w:val="00BB5340"/>
    <w:rsid w:val="00BB594B"/>
    <w:rsid w:val="00BB5D65"/>
    <w:rsid w:val="00BB6002"/>
    <w:rsid w:val="00BB607C"/>
    <w:rsid w:val="00BB6D46"/>
    <w:rsid w:val="00BB6EBB"/>
    <w:rsid w:val="00BB7185"/>
    <w:rsid w:val="00BB7CA8"/>
    <w:rsid w:val="00BB7EFA"/>
    <w:rsid w:val="00BC00D6"/>
    <w:rsid w:val="00BC0FDC"/>
    <w:rsid w:val="00BC115A"/>
    <w:rsid w:val="00BC1840"/>
    <w:rsid w:val="00BC1B62"/>
    <w:rsid w:val="00BC1BC6"/>
    <w:rsid w:val="00BC1C8F"/>
    <w:rsid w:val="00BC205E"/>
    <w:rsid w:val="00BC2D34"/>
    <w:rsid w:val="00BC3053"/>
    <w:rsid w:val="00BC4613"/>
    <w:rsid w:val="00BC46BD"/>
    <w:rsid w:val="00BC4D2E"/>
    <w:rsid w:val="00BC4EC1"/>
    <w:rsid w:val="00BC5DD9"/>
    <w:rsid w:val="00BC6427"/>
    <w:rsid w:val="00BC6CC3"/>
    <w:rsid w:val="00BC703B"/>
    <w:rsid w:val="00BC71EB"/>
    <w:rsid w:val="00BC7795"/>
    <w:rsid w:val="00BD04EA"/>
    <w:rsid w:val="00BD13D5"/>
    <w:rsid w:val="00BD2413"/>
    <w:rsid w:val="00BD25A7"/>
    <w:rsid w:val="00BD31C9"/>
    <w:rsid w:val="00BD334D"/>
    <w:rsid w:val="00BD4304"/>
    <w:rsid w:val="00BD4870"/>
    <w:rsid w:val="00BD48AC"/>
    <w:rsid w:val="00BD4A70"/>
    <w:rsid w:val="00BD55BA"/>
    <w:rsid w:val="00BD5D69"/>
    <w:rsid w:val="00BD5F1A"/>
    <w:rsid w:val="00BD6DF5"/>
    <w:rsid w:val="00BD6F6C"/>
    <w:rsid w:val="00BD7326"/>
    <w:rsid w:val="00BD788F"/>
    <w:rsid w:val="00BE0BDE"/>
    <w:rsid w:val="00BE1234"/>
    <w:rsid w:val="00BE163D"/>
    <w:rsid w:val="00BE1F14"/>
    <w:rsid w:val="00BE21AE"/>
    <w:rsid w:val="00BE2FA6"/>
    <w:rsid w:val="00BE3175"/>
    <w:rsid w:val="00BE333F"/>
    <w:rsid w:val="00BE3C65"/>
    <w:rsid w:val="00BE47AC"/>
    <w:rsid w:val="00BE4FAA"/>
    <w:rsid w:val="00BE5072"/>
    <w:rsid w:val="00BE5261"/>
    <w:rsid w:val="00BE7406"/>
    <w:rsid w:val="00BE7470"/>
    <w:rsid w:val="00BE7603"/>
    <w:rsid w:val="00BE76E1"/>
    <w:rsid w:val="00BE7AAC"/>
    <w:rsid w:val="00BE7B2B"/>
    <w:rsid w:val="00BF06D7"/>
    <w:rsid w:val="00BF13DA"/>
    <w:rsid w:val="00BF1548"/>
    <w:rsid w:val="00BF1CBB"/>
    <w:rsid w:val="00BF26BC"/>
    <w:rsid w:val="00BF284A"/>
    <w:rsid w:val="00BF2922"/>
    <w:rsid w:val="00BF3279"/>
    <w:rsid w:val="00BF3391"/>
    <w:rsid w:val="00BF4186"/>
    <w:rsid w:val="00BF4524"/>
    <w:rsid w:val="00BF48DA"/>
    <w:rsid w:val="00BF49B9"/>
    <w:rsid w:val="00BF4A8C"/>
    <w:rsid w:val="00BF6435"/>
    <w:rsid w:val="00BF6A58"/>
    <w:rsid w:val="00BF6AD9"/>
    <w:rsid w:val="00BF74C7"/>
    <w:rsid w:val="00C00167"/>
    <w:rsid w:val="00C00A66"/>
    <w:rsid w:val="00C00C2D"/>
    <w:rsid w:val="00C00E50"/>
    <w:rsid w:val="00C0151A"/>
    <w:rsid w:val="00C015F1"/>
    <w:rsid w:val="00C01F33"/>
    <w:rsid w:val="00C028F6"/>
    <w:rsid w:val="00C0294E"/>
    <w:rsid w:val="00C02CC6"/>
    <w:rsid w:val="00C02E41"/>
    <w:rsid w:val="00C040F7"/>
    <w:rsid w:val="00C041B4"/>
    <w:rsid w:val="00C044AB"/>
    <w:rsid w:val="00C04A6E"/>
    <w:rsid w:val="00C04E40"/>
    <w:rsid w:val="00C04F66"/>
    <w:rsid w:val="00C056F4"/>
    <w:rsid w:val="00C05706"/>
    <w:rsid w:val="00C05742"/>
    <w:rsid w:val="00C06399"/>
    <w:rsid w:val="00C068C4"/>
    <w:rsid w:val="00C07377"/>
    <w:rsid w:val="00C1003F"/>
    <w:rsid w:val="00C10478"/>
    <w:rsid w:val="00C10648"/>
    <w:rsid w:val="00C10799"/>
    <w:rsid w:val="00C11E7A"/>
    <w:rsid w:val="00C12107"/>
    <w:rsid w:val="00C126DB"/>
    <w:rsid w:val="00C12796"/>
    <w:rsid w:val="00C12A69"/>
    <w:rsid w:val="00C12C60"/>
    <w:rsid w:val="00C1304D"/>
    <w:rsid w:val="00C13193"/>
    <w:rsid w:val="00C13F4E"/>
    <w:rsid w:val="00C14D4B"/>
    <w:rsid w:val="00C154BB"/>
    <w:rsid w:val="00C15B1C"/>
    <w:rsid w:val="00C16D12"/>
    <w:rsid w:val="00C16D54"/>
    <w:rsid w:val="00C177F4"/>
    <w:rsid w:val="00C2020F"/>
    <w:rsid w:val="00C210F4"/>
    <w:rsid w:val="00C2161B"/>
    <w:rsid w:val="00C21716"/>
    <w:rsid w:val="00C21E65"/>
    <w:rsid w:val="00C21EEC"/>
    <w:rsid w:val="00C22620"/>
    <w:rsid w:val="00C22777"/>
    <w:rsid w:val="00C22882"/>
    <w:rsid w:val="00C22B7D"/>
    <w:rsid w:val="00C236AE"/>
    <w:rsid w:val="00C2373D"/>
    <w:rsid w:val="00C24352"/>
    <w:rsid w:val="00C24E07"/>
    <w:rsid w:val="00C2596D"/>
    <w:rsid w:val="00C25C5E"/>
    <w:rsid w:val="00C2679D"/>
    <w:rsid w:val="00C27076"/>
    <w:rsid w:val="00C279B5"/>
    <w:rsid w:val="00C27C45"/>
    <w:rsid w:val="00C27C77"/>
    <w:rsid w:val="00C30897"/>
    <w:rsid w:val="00C31524"/>
    <w:rsid w:val="00C31962"/>
    <w:rsid w:val="00C31ACA"/>
    <w:rsid w:val="00C32175"/>
    <w:rsid w:val="00C3339E"/>
    <w:rsid w:val="00C33D6E"/>
    <w:rsid w:val="00C3438E"/>
    <w:rsid w:val="00C34437"/>
    <w:rsid w:val="00C346B9"/>
    <w:rsid w:val="00C34902"/>
    <w:rsid w:val="00C36AF9"/>
    <w:rsid w:val="00C36EEF"/>
    <w:rsid w:val="00C3719D"/>
    <w:rsid w:val="00C37A36"/>
    <w:rsid w:val="00C37CB2"/>
    <w:rsid w:val="00C40B4A"/>
    <w:rsid w:val="00C40E49"/>
    <w:rsid w:val="00C41604"/>
    <w:rsid w:val="00C41797"/>
    <w:rsid w:val="00C42517"/>
    <w:rsid w:val="00C42584"/>
    <w:rsid w:val="00C43277"/>
    <w:rsid w:val="00C4418A"/>
    <w:rsid w:val="00C4447A"/>
    <w:rsid w:val="00C44CEB"/>
    <w:rsid w:val="00C44D25"/>
    <w:rsid w:val="00C45017"/>
    <w:rsid w:val="00C4600B"/>
    <w:rsid w:val="00C46891"/>
    <w:rsid w:val="00C473A5"/>
    <w:rsid w:val="00C474CC"/>
    <w:rsid w:val="00C47E15"/>
    <w:rsid w:val="00C47E2A"/>
    <w:rsid w:val="00C50068"/>
    <w:rsid w:val="00C500B3"/>
    <w:rsid w:val="00C50AA7"/>
    <w:rsid w:val="00C50F4F"/>
    <w:rsid w:val="00C51889"/>
    <w:rsid w:val="00C52BC1"/>
    <w:rsid w:val="00C534A8"/>
    <w:rsid w:val="00C535C1"/>
    <w:rsid w:val="00C5366D"/>
    <w:rsid w:val="00C54656"/>
    <w:rsid w:val="00C54995"/>
    <w:rsid w:val="00C54D41"/>
    <w:rsid w:val="00C5530B"/>
    <w:rsid w:val="00C55329"/>
    <w:rsid w:val="00C55413"/>
    <w:rsid w:val="00C556E4"/>
    <w:rsid w:val="00C55C39"/>
    <w:rsid w:val="00C56145"/>
    <w:rsid w:val="00C562F3"/>
    <w:rsid w:val="00C57079"/>
    <w:rsid w:val="00C573C9"/>
    <w:rsid w:val="00C57F8C"/>
    <w:rsid w:val="00C60783"/>
    <w:rsid w:val="00C609A5"/>
    <w:rsid w:val="00C60A46"/>
    <w:rsid w:val="00C611D2"/>
    <w:rsid w:val="00C61AE6"/>
    <w:rsid w:val="00C63339"/>
    <w:rsid w:val="00C63D5E"/>
    <w:rsid w:val="00C6425F"/>
    <w:rsid w:val="00C64672"/>
    <w:rsid w:val="00C64D0A"/>
    <w:rsid w:val="00C6539E"/>
    <w:rsid w:val="00C657E8"/>
    <w:rsid w:val="00C67C6D"/>
    <w:rsid w:val="00C70061"/>
    <w:rsid w:val="00C70697"/>
    <w:rsid w:val="00C70B13"/>
    <w:rsid w:val="00C7113F"/>
    <w:rsid w:val="00C7152D"/>
    <w:rsid w:val="00C71C00"/>
    <w:rsid w:val="00C71C5B"/>
    <w:rsid w:val="00C71F9C"/>
    <w:rsid w:val="00C72093"/>
    <w:rsid w:val="00C720A5"/>
    <w:rsid w:val="00C724CA"/>
    <w:rsid w:val="00C727B2"/>
    <w:rsid w:val="00C72EF4"/>
    <w:rsid w:val="00C731F0"/>
    <w:rsid w:val="00C73789"/>
    <w:rsid w:val="00C73F20"/>
    <w:rsid w:val="00C744FE"/>
    <w:rsid w:val="00C747A9"/>
    <w:rsid w:val="00C74EF1"/>
    <w:rsid w:val="00C752E0"/>
    <w:rsid w:val="00C7592F"/>
    <w:rsid w:val="00C75D2F"/>
    <w:rsid w:val="00C7631B"/>
    <w:rsid w:val="00C767BE"/>
    <w:rsid w:val="00C76E3C"/>
    <w:rsid w:val="00C772DD"/>
    <w:rsid w:val="00C77E79"/>
    <w:rsid w:val="00C80FC2"/>
    <w:rsid w:val="00C81568"/>
    <w:rsid w:val="00C81EDB"/>
    <w:rsid w:val="00C82844"/>
    <w:rsid w:val="00C845B4"/>
    <w:rsid w:val="00C85006"/>
    <w:rsid w:val="00C854D2"/>
    <w:rsid w:val="00C86C96"/>
    <w:rsid w:val="00C870AE"/>
    <w:rsid w:val="00C87666"/>
    <w:rsid w:val="00C8784C"/>
    <w:rsid w:val="00C9009D"/>
    <w:rsid w:val="00C90133"/>
    <w:rsid w:val="00C9027A"/>
    <w:rsid w:val="00C9058E"/>
    <w:rsid w:val="00C9068E"/>
    <w:rsid w:val="00C93814"/>
    <w:rsid w:val="00C93C4B"/>
    <w:rsid w:val="00C93F57"/>
    <w:rsid w:val="00C944AB"/>
    <w:rsid w:val="00C94936"/>
    <w:rsid w:val="00C95114"/>
    <w:rsid w:val="00C95B40"/>
    <w:rsid w:val="00C95BAE"/>
    <w:rsid w:val="00C9682D"/>
    <w:rsid w:val="00C9708B"/>
    <w:rsid w:val="00C97301"/>
    <w:rsid w:val="00CA1326"/>
    <w:rsid w:val="00CA19A3"/>
    <w:rsid w:val="00CA1E77"/>
    <w:rsid w:val="00CA1ED8"/>
    <w:rsid w:val="00CA1F84"/>
    <w:rsid w:val="00CA2539"/>
    <w:rsid w:val="00CA265B"/>
    <w:rsid w:val="00CA2B9D"/>
    <w:rsid w:val="00CA2DB5"/>
    <w:rsid w:val="00CA2E1C"/>
    <w:rsid w:val="00CA2FF0"/>
    <w:rsid w:val="00CA4B46"/>
    <w:rsid w:val="00CA56C2"/>
    <w:rsid w:val="00CA5975"/>
    <w:rsid w:val="00CA6652"/>
    <w:rsid w:val="00CA6C5C"/>
    <w:rsid w:val="00CA7CE7"/>
    <w:rsid w:val="00CB1698"/>
    <w:rsid w:val="00CB1843"/>
    <w:rsid w:val="00CB19F1"/>
    <w:rsid w:val="00CB1F63"/>
    <w:rsid w:val="00CB355E"/>
    <w:rsid w:val="00CB4191"/>
    <w:rsid w:val="00CB480B"/>
    <w:rsid w:val="00CB503A"/>
    <w:rsid w:val="00CB536B"/>
    <w:rsid w:val="00CB53FC"/>
    <w:rsid w:val="00CB5B35"/>
    <w:rsid w:val="00CB5B5C"/>
    <w:rsid w:val="00CB5C9A"/>
    <w:rsid w:val="00CB6212"/>
    <w:rsid w:val="00CB66F6"/>
    <w:rsid w:val="00CB7170"/>
    <w:rsid w:val="00CC00F0"/>
    <w:rsid w:val="00CC040E"/>
    <w:rsid w:val="00CC0D63"/>
    <w:rsid w:val="00CC0E25"/>
    <w:rsid w:val="00CC10F4"/>
    <w:rsid w:val="00CC111F"/>
    <w:rsid w:val="00CC1781"/>
    <w:rsid w:val="00CC1C9B"/>
    <w:rsid w:val="00CC2011"/>
    <w:rsid w:val="00CC2601"/>
    <w:rsid w:val="00CC302F"/>
    <w:rsid w:val="00CC320D"/>
    <w:rsid w:val="00CC32CD"/>
    <w:rsid w:val="00CC3EA0"/>
    <w:rsid w:val="00CC4137"/>
    <w:rsid w:val="00CC468F"/>
    <w:rsid w:val="00CC47AB"/>
    <w:rsid w:val="00CC4CD3"/>
    <w:rsid w:val="00CC5656"/>
    <w:rsid w:val="00CC66C3"/>
    <w:rsid w:val="00CC698E"/>
    <w:rsid w:val="00CC7B45"/>
    <w:rsid w:val="00CD1188"/>
    <w:rsid w:val="00CD19E5"/>
    <w:rsid w:val="00CD26B4"/>
    <w:rsid w:val="00CD28EA"/>
    <w:rsid w:val="00CD2DA0"/>
    <w:rsid w:val="00CD2ED1"/>
    <w:rsid w:val="00CD325C"/>
    <w:rsid w:val="00CD337B"/>
    <w:rsid w:val="00CD3A00"/>
    <w:rsid w:val="00CD3B23"/>
    <w:rsid w:val="00CD3C1A"/>
    <w:rsid w:val="00CD3E25"/>
    <w:rsid w:val="00CD4C19"/>
    <w:rsid w:val="00CD5413"/>
    <w:rsid w:val="00CD547D"/>
    <w:rsid w:val="00CD5E8E"/>
    <w:rsid w:val="00CD6981"/>
    <w:rsid w:val="00CD6B2A"/>
    <w:rsid w:val="00CD792B"/>
    <w:rsid w:val="00CE0424"/>
    <w:rsid w:val="00CE04B7"/>
    <w:rsid w:val="00CE082D"/>
    <w:rsid w:val="00CE0B15"/>
    <w:rsid w:val="00CE0BF7"/>
    <w:rsid w:val="00CE0E44"/>
    <w:rsid w:val="00CE2B5F"/>
    <w:rsid w:val="00CE2DA0"/>
    <w:rsid w:val="00CE2E5D"/>
    <w:rsid w:val="00CE40CF"/>
    <w:rsid w:val="00CE561F"/>
    <w:rsid w:val="00CE5A57"/>
    <w:rsid w:val="00CE63E3"/>
    <w:rsid w:val="00CE6728"/>
    <w:rsid w:val="00CE7561"/>
    <w:rsid w:val="00CF0FCA"/>
    <w:rsid w:val="00CF1354"/>
    <w:rsid w:val="00CF2A41"/>
    <w:rsid w:val="00CF33CE"/>
    <w:rsid w:val="00CF36FA"/>
    <w:rsid w:val="00CF39C9"/>
    <w:rsid w:val="00CF3AA5"/>
    <w:rsid w:val="00CF3B1F"/>
    <w:rsid w:val="00CF3BF6"/>
    <w:rsid w:val="00CF3F47"/>
    <w:rsid w:val="00CF3FDA"/>
    <w:rsid w:val="00CF4313"/>
    <w:rsid w:val="00CF44E2"/>
    <w:rsid w:val="00CF4884"/>
    <w:rsid w:val="00CF4985"/>
    <w:rsid w:val="00CF4C1C"/>
    <w:rsid w:val="00CF58E8"/>
    <w:rsid w:val="00CF625B"/>
    <w:rsid w:val="00CF687E"/>
    <w:rsid w:val="00CF68AC"/>
    <w:rsid w:val="00D009DD"/>
    <w:rsid w:val="00D00BE7"/>
    <w:rsid w:val="00D01A10"/>
    <w:rsid w:val="00D020C5"/>
    <w:rsid w:val="00D0277A"/>
    <w:rsid w:val="00D02F11"/>
    <w:rsid w:val="00D0349B"/>
    <w:rsid w:val="00D0377A"/>
    <w:rsid w:val="00D0433C"/>
    <w:rsid w:val="00D0450C"/>
    <w:rsid w:val="00D0488B"/>
    <w:rsid w:val="00D04AE2"/>
    <w:rsid w:val="00D04F61"/>
    <w:rsid w:val="00D05145"/>
    <w:rsid w:val="00D05799"/>
    <w:rsid w:val="00D065A0"/>
    <w:rsid w:val="00D07258"/>
    <w:rsid w:val="00D0736F"/>
    <w:rsid w:val="00D101D8"/>
    <w:rsid w:val="00D10249"/>
    <w:rsid w:val="00D10CFE"/>
    <w:rsid w:val="00D115C3"/>
    <w:rsid w:val="00D11897"/>
    <w:rsid w:val="00D11C52"/>
    <w:rsid w:val="00D121F6"/>
    <w:rsid w:val="00D12626"/>
    <w:rsid w:val="00D127DA"/>
    <w:rsid w:val="00D12853"/>
    <w:rsid w:val="00D13135"/>
    <w:rsid w:val="00D13DAE"/>
    <w:rsid w:val="00D13E4E"/>
    <w:rsid w:val="00D13F36"/>
    <w:rsid w:val="00D151A2"/>
    <w:rsid w:val="00D15646"/>
    <w:rsid w:val="00D157BA"/>
    <w:rsid w:val="00D160BD"/>
    <w:rsid w:val="00D1714B"/>
    <w:rsid w:val="00D1793B"/>
    <w:rsid w:val="00D20BA6"/>
    <w:rsid w:val="00D20F25"/>
    <w:rsid w:val="00D21800"/>
    <w:rsid w:val="00D21D7B"/>
    <w:rsid w:val="00D22BA7"/>
    <w:rsid w:val="00D22F38"/>
    <w:rsid w:val="00D22FCF"/>
    <w:rsid w:val="00D2322D"/>
    <w:rsid w:val="00D239A7"/>
    <w:rsid w:val="00D23C09"/>
    <w:rsid w:val="00D23F47"/>
    <w:rsid w:val="00D2447D"/>
    <w:rsid w:val="00D24BB8"/>
    <w:rsid w:val="00D252AF"/>
    <w:rsid w:val="00D259F1"/>
    <w:rsid w:val="00D26D0C"/>
    <w:rsid w:val="00D27FCD"/>
    <w:rsid w:val="00D31465"/>
    <w:rsid w:val="00D314C4"/>
    <w:rsid w:val="00D318F6"/>
    <w:rsid w:val="00D31B01"/>
    <w:rsid w:val="00D32532"/>
    <w:rsid w:val="00D32C53"/>
    <w:rsid w:val="00D32CE1"/>
    <w:rsid w:val="00D333C2"/>
    <w:rsid w:val="00D33E2E"/>
    <w:rsid w:val="00D3433E"/>
    <w:rsid w:val="00D3692F"/>
    <w:rsid w:val="00D36AA0"/>
    <w:rsid w:val="00D36E71"/>
    <w:rsid w:val="00D36F0E"/>
    <w:rsid w:val="00D37220"/>
    <w:rsid w:val="00D37444"/>
    <w:rsid w:val="00D37D49"/>
    <w:rsid w:val="00D37D87"/>
    <w:rsid w:val="00D37FA1"/>
    <w:rsid w:val="00D40225"/>
    <w:rsid w:val="00D4072C"/>
    <w:rsid w:val="00D40B33"/>
    <w:rsid w:val="00D40F2E"/>
    <w:rsid w:val="00D41133"/>
    <w:rsid w:val="00D41794"/>
    <w:rsid w:val="00D41C78"/>
    <w:rsid w:val="00D41CC1"/>
    <w:rsid w:val="00D4318F"/>
    <w:rsid w:val="00D438BF"/>
    <w:rsid w:val="00D440F8"/>
    <w:rsid w:val="00D4429C"/>
    <w:rsid w:val="00D4512D"/>
    <w:rsid w:val="00D45281"/>
    <w:rsid w:val="00D453DF"/>
    <w:rsid w:val="00D4562E"/>
    <w:rsid w:val="00D46086"/>
    <w:rsid w:val="00D460C5"/>
    <w:rsid w:val="00D46662"/>
    <w:rsid w:val="00D46862"/>
    <w:rsid w:val="00D46BAC"/>
    <w:rsid w:val="00D46FAD"/>
    <w:rsid w:val="00D47CAD"/>
    <w:rsid w:val="00D47E0E"/>
    <w:rsid w:val="00D5142F"/>
    <w:rsid w:val="00D5168D"/>
    <w:rsid w:val="00D520AF"/>
    <w:rsid w:val="00D5292A"/>
    <w:rsid w:val="00D52FEA"/>
    <w:rsid w:val="00D536F9"/>
    <w:rsid w:val="00D5402D"/>
    <w:rsid w:val="00D541D2"/>
    <w:rsid w:val="00D545D7"/>
    <w:rsid w:val="00D546A6"/>
    <w:rsid w:val="00D546FF"/>
    <w:rsid w:val="00D54CD8"/>
    <w:rsid w:val="00D54F1F"/>
    <w:rsid w:val="00D551A2"/>
    <w:rsid w:val="00D55AD5"/>
    <w:rsid w:val="00D56778"/>
    <w:rsid w:val="00D570DF"/>
    <w:rsid w:val="00D576CA"/>
    <w:rsid w:val="00D5784D"/>
    <w:rsid w:val="00D6071F"/>
    <w:rsid w:val="00D61AF5"/>
    <w:rsid w:val="00D625E8"/>
    <w:rsid w:val="00D62C25"/>
    <w:rsid w:val="00D646A5"/>
    <w:rsid w:val="00D646AA"/>
    <w:rsid w:val="00D652B5"/>
    <w:rsid w:val="00D65EAC"/>
    <w:rsid w:val="00D66155"/>
    <w:rsid w:val="00D663A5"/>
    <w:rsid w:val="00D66849"/>
    <w:rsid w:val="00D66A59"/>
    <w:rsid w:val="00D66BEF"/>
    <w:rsid w:val="00D66C9C"/>
    <w:rsid w:val="00D66E70"/>
    <w:rsid w:val="00D7016B"/>
    <w:rsid w:val="00D70368"/>
    <w:rsid w:val="00D70562"/>
    <w:rsid w:val="00D706EB"/>
    <w:rsid w:val="00D708B0"/>
    <w:rsid w:val="00D70BDC"/>
    <w:rsid w:val="00D714F6"/>
    <w:rsid w:val="00D714FE"/>
    <w:rsid w:val="00D720E6"/>
    <w:rsid w:val="00D731A0"/>
    <w:rsid w:val="00D73F34"/>
    <w:rsid w:val="00D7404B"/>
    <w:rsid w:val="00D74630"/>
    <w:rsid w:val="00D74BB5"/>
    <w:rsid w:val="00D74DB2"/>
    <w:rsid w:val="00D750B2"/>
    <w:rsid w:val="00D7568D"/>
    <w:rsid w:val="00D75D1B"/>
    <w:rsid w:val="00D76F2E"/>
    <w:rsid w:val="00D773D0"/>
    <w:rsid w:val="00D778A4"/>
    <w:rsid w:val="00D77B1D"/>
    <w:rsid w:val="00D77BBD"/>
    <w:rsid w:val="00D8017C"/>
    <w:rsid w:val="00D8021F"/>
    <w:rsid w:val="00D80383"/>
    <w:rsid w:val="00D80A8D"/>
    <w:rsid w:val="00D80CE9"/>
    <w:rsid w:val="00D812A7"/>
    <w:rsid w:val="00D81776"/>
    <w:rsid w:val="00D823C6"/>
    <w:rsid w:val="00D82AFF"/>
    <w:rsid w:val="00D82E43"/>
    <w:rsid w:val="00D830D6"/>
    <w:rsid w:val="00D8327F"/>
    <w:rsid w:val="00D838B6"/>
    <w:rsid w:val="00D83D81"/>
    <w:rsid w:val="00D84288"/>
    <w:rsid w:val="00D84442"/>
    <w:rsid w:val="00D85F8E"/>
    <w:rsid w:val="00D860AE"/>
    <w:rsid w:val="00D86509"/>
    <w:rsid w:val="00D86A20"/>
    <w:rsid w:val="00D86CA3"/>
    <w:rsid w:val="00D871CE"/>
    <w:rsid w:val="00D90398"/>
    <w:rsid w:val="00D903EA"/>
    <w:rsid w:val="00D915C1"/>
    <w:rsid w:val="00D917D2"/>
    <w:rsid w:val="00D9183E"/>
    <w:rsid w:val="00D9196D"/>
    <w:rsid w:val="00D92154"/>
    <w:rsid w:val="00D92982"/>
    <w:rsid w:val="00D929A9"/>
    <w:rsid w:val="00D93259"/>
    <w:rsid w:val="00D93A77"/>
    <w:rsid w:val="00D941BD"/>
    <w:rsid w:val="00D956B8"/>
    <w:rsid w:val="00D96115"/>
    <w:rsid w:val="00D9634F"/>
    <w:rsid w:val="00D96973"/>
    <w:rsid w:val="00D97181"/>
    <w:rsid w:val="00DA0B6D"/>
    <w:rsid w:val="00DA1197"/>
    <w:rsid w:val="00DA1A8C"/>
    <w:rsid w:val="00DA1BB8"/>
    <w:rsid w:val="00DA1CB8"/>
    <w:rsid w:val="00DA23FF"/>
    <w:rsid w:val="00DA2884"/>
    <w:rsid w:val="00DA2F2C"/>
    <w:rsid w:val="00DA2FEC"/>
    <w:rsid w:val="00DA305E"/>
    <w:rsid w:val="00DA34D5"/>
    <w:rsid w:val="00DA3868"/>
    <w:rsid w:val="00DA3DBA"/>
    <w:rsid w:val="00DA40C8"/>
    <w:rsid w:val="00DA40CA"/>
    <w:rsid w:val="00DA4833"/>
    <w:rsid w:val="00DA4922"/>
    <w:rsid w:val="00DA4A67"/>
    <w:rsid w:val="00DA4DC0"/>
    <w:rsid w:val="00DA51E2"/>
    <w:rsid w:val="00DA5226"/>
    <w:rsid w:val="00DA5417"/>
    <w:rsid w:val="00DA56E8"/>
    <w:rsid w:val="00DA5DEA"/>
    <w:rsid w:val="00DA607C"/>
    <w:rsid w:val="00DA6890"/>
    <w:rsid w:val="00DA705F"/>
    <w:rsid w:val="00DA76EE"/>
    <w:rsid w:val="00DA786A"/>
    <w:rsid w:val="00DA7E28"/>
    <w:rsid w:val="00DB095A"/>
    <w:rsid w:val="00DB0A9F"/>
    <w:rsid w:val="00DB1025"/>
    <w:rsid w:val="00DB1836"/>
    <w:rsid w:val="00DB2C5F"/>
    <w:rsid w:val="00DB2EB3"/>
    <w:rsid w:val="00DB34EF"/>
    <w:rsid w:val="00DB377D"/>
    <w:rsid w:val="00DB4290"/>
    <w:rsid w:val="00DB46BB"/>
    <w:rsid w:val="00DB56E0"/>
    <w:rsid w:val="00DB5AF2"/>
    <w:rsid w:val="00DB5C9D"/>
    <w:rsid w:val="00DB6A06"/>
    <w:rsid w:val="00DB743C"/>
    <w:rsid w:val="00DB7A93"/>
    <w:rsid w:val="00DC0A39"/>
    <w:rsid w:val="00DC0D5B"/>
    <w:rsid w:val="00DC10D6"/>
    <w:rsid w:val="00DC21F8"/>
    <w:rsid w:val="00DC2541"/>
    <w:rsid w:val="00DC2D36"/>
    <w:rsid w:val="00DC3291"/>
    <w:rsid w:val="00DC42A6"/>
    <w:rsid w:val="00DC4493"/>
    <w:rsid w:val="00DC4BCD"/>
    <w:rsid w:val="00DC52E4"/>
    <w:rsid w:val="00DC53EF"/>
    <w:rsid w:val="00DC6602"/>
    <w:rsid w:val="00DC69D6"/>
    <w:rsid w:val="00DC6A50"/>
    <w:rsid w:val="00DC7177"/>
    <w:rsid w:val="00DC7960"/>
    <w:rsid w:val="00DC7E50"/>
    <w:rsid w:val="00DC7F02"/>
    <w:rsid w:val="00DD104D"/>
    <w:rsid w:val="00DD1573"/>
    <w:rsid w:val="00DD19B5"/>
    <w:rsid w:val="00DD1CE7"/>
    <w:rsid w:val="00DD213D"/>
    <w:rsid w:val="00DD2FDA"/>
    <w:rsid w:val="00DD3626"/>
    <w:rsid w:val="00DD469D"/>
    <w:rsid w:val="00DD4752"/>
    <w:rsid w:val="00DD69BC"/>
    <w:rsid w:val="00DD6AB4"/>
    <w:rsid w:val="00DD70C5"/>
    <w:rsid w:val="00DD763F"/>
    <w:rsid w:val="00DD7D89"/>
    <w:rsid w:val="00DE0F12"/>
    <w:rsid w:val="00DE19B4"/>
    <w:rsid w:val="00DE225E"/>
    <w:rsid w:val="00DE235F"/>
    <w:rsid w:val="00DE28D8"/>
    <w:rsid w:val="00DE2B1F"/>
    <w:rsid w:val="00DE2C1F"/>
    <w:rsid w:val="00DE2CC9"/>
    <w:rsid w:val="00DE4BF1"/>
    <w:rsid w:val="00DE4C3D"/>
    <w:rsid w:val="00DE559D"/>
    <w:rsid w:val="00DE5608"/>
    <w:rsid w:val="00DE58D0"/>
    <w:rsid w:val="00DE5C41"/>
    <w:rsid w:val="00DE654F"/>
    <w:rsid w:val="00DE6D8B"/>
    <w:rsid w:val="00DE7258"/>
    <w:rsid w:val="00DE73AF"/>
    <w:rsid w:val="00DE7576"/>
    <w:rsid w:val="00DE7F13"/>
    <w:rsid w:val="00DF037B"/>
    <w:rsid w:val="00DF08CF"/>
    <w:rsid w:val="00DF0B6E"/>
    <w:rsid w:val="00DF0FAA"/>
    <w:rsid w:val="00DF120D"/>
    <w:rsid w:val="00DF12C1"/>
    <w:rsid w:val="00DF15E0"/>
    <w:rsid w:val="00DF1E53"/>
    <w:rsid w:val="00DF1EDB"/>
    <w:rsid w:val="00DF235D"/>
    <w:rsid w:val="00DF27E9"/>
    <w:rsid w:val="00DF37A0"/>
    <w:rsid w:val="00DF4EAB"/>
    <w:rsid w:val="00DF5FC7"/>
    <w:rsid w:val="00DF6B66"/>
    <w:rsid w:val="00DF7696"/>
    <w:rsid w:val="00E0110A"/>
    <w:rsid w:val="00E01E83"/>
    <w:rsid w:val="00E01F3A"/>
    <w:rsid w:val="00E021D8"/>
    <w:rsid w:val="00E02446"/>
    <w:rsid w:val="00E02650"/>
    <w:rsid w:val="00E026F3"/>
    <w:rsid w:val="00E05778"/>
    <w:rsid w:val="00E06BAE"/>
    <w:rsid w:val="00E0725E"/>
    <w:rsid w:val="00E072E1"/>
    <w:rsid w:val="00E07C2A"/>
    <w:rsid w:val="00E10506"/>
    <w:rsid w:val="00E110E7"/>
    <w:rsid w:val="00E11B20"/>
    <w:rsid w:val="00E11F0F"/>
    <w:rsid w:val="00E123DA"/>
    <w:rsid w:val="00E12A8B"/>
    <w:rsid w:val="00E13D22"/>
    <w:rsid w:val="00E1431B"/>
    <w:rsid w:val="00E146D6"/>
    <w:rsid w:val="00E14CF9"/>
    <w:rsid w:val="00E15B2F"/>
    <w:rsid w:val="00E169BF"/>
    <w:rsid w:val="00E17CEF"/>
    <w:rsid w:val="00E17FA2"/>
    <w:rsid w:val="00E203B6"/>
    <w:rsid w:val="00E20627"/>
    <w:rsid w:val="00E2098B"/>
    <w:rsid w:val="00E211E1"/>
    <w:rsid w:val="00E21545"/>
    <w:rsid w:val="00E21602"/>
    <w:rsid w:val="00E21A05"/>
    <w:rsid w:val="00E21A33"/>
    <w:rsid w:val="00E22330"/>
    <w:rsid w:val="00E225D3"/>
    <w:rsid w:val="00E235AB"/>
    <w:rsid w:val="00E25CCA"/>
    <w:rsid w:val="00E26213"/>
    <w:rsid w:val="00E26359"/>
    <w:rsid w:val="00E2663C"/>
    <w:rsid w:val="00E270EE"/>
    <w:rsid w:val="00E30B5A"/>
    <w:rsid w:val="00E30B6A"/>
    <w:rsid w:val="00E3123D"/>
    <w:rsid w:val="00E31461"/>
    <w:rsid w:val="00E3181A"/>
    <w:rsid w:val="00E31D43"/>
    <w:rsid w:val="00E3201C"/>
    <w:rsid w:val="00E3240C"/>
    <w:rsid w:val="00E32608"/>
    <w:rsid w:val="00E32857"/>
    <w:rsid w:val="00E33894"/>
    <w:rsid w:val="00E33AEB"/>
    <w:rsid w:val="00E34188"/>
    <w:rsid w:val="00E341FB"/>
    <w:rsid w:val="00E34586"/>
    <w:rsid w:val="00E34A10"/>
    <w:rsid w:val="00E34B6E"/>
    <w:rsid w:val="00E34D3F"/>
    <w:rsid w:val="00E35473"/>
    <w:rsid w:val="00E35559"/>
    <w:rsid w:val="00E35D43"/>
    <w:rsid w:val="00E35E71"/>
    <w:rsid w:val="00E36131"/>
    <w:rsid w:val="00E3723A"/>
    <w:rsid w:val="00E37368"/>
    <w:rsid w:val="00E37860"/>
    <w:rsid w:val="00E4054F"/>
    <w:rsid w:val="00E40F09"/>
    <w:rsid w:val="00E415E6"/>
    <w:rsid w:val="00E41C44"/>
    <w:rsid w:val="00E41EC2"/>
    <w:rsid w:val="00E42267"/>
    <w:rsid w:val="00E4278F"/>
    <w:rsid w:val="00E42AD7"/>
    <w:rsid w:val="00E42EB1"/>
    <w:rsid w:val="00E43238"/>
    <w:rsid w:val="00E438A3"/>
    <w:rsid w:val="00E43B17"/>
    <w:rsid w:val="00E43EFD"/>
    <w:rsid w:val="00E446F1"/>
    <w:rsid w:val="00E44E52"/>
    <w:rsid w:val="00E4530C"/>
    <w:rsid w:val="00E461E8"/>
    <w:rsid w:val="00E46804"/>
    <w:rsid w:val="00E46886"/>
    <w:rsid w:val="00E46AA1"/>
    <w:rsid w:val="00E46FB4"/>
    <w:rsid w:val="00E479A2"/>
    <w:rsid w:val="00E47AEF"/>
    <w:rsid w:val="00E5027C"/>
    <w:rsid w:val="00E50992"/>
    <w:rsid w:val="00E51025"/>
    <w:rsid w:val="00E532DB"/>
    <w:rsid w:val="00E532DD"/>
    <w:rsid w:val="00E53B75"/>
    <w:rsid w:val="00E547EE"/>
    <w:rsid w:val="00E54E3B"/>
    <w:rsid w:val="00E553DF"/>
    <w:rsid w:val="00E5646D"/>
    <w:rsid w:val="00E5672D"/>
    <w:rsid w:val="00E56F05"/>
    <w:rsid w:val="00E57565"/>
    <w:rsid w:val="00E60623"/>
    <w:rsid w:val="00E606C3"/>
    <w:rsid w:val="00E60A33"/>
    <w:rsid w:val="00E6100D"/>
    <w:rsid w:val="00E613C8"/>
    <w:rsid w:val="00E61D5E"/>
    <w:rsid w:val="00E63838"/>
    <w:rsid w:val="00E641D8"/>
    <w:rsid w:val="00E64434"/>
    <w:rsid w:val="00E6447C"/>
    <w:rsid w:val="00E64F7E"/>
    <w:rsid w:val="00E64FCF"/>
    <w:rsid w:val="00E660A5"/>
    <w:rsid w:val="00E662D3"/>
    <w:rsid w:val="00E663C7"/>
    <w:rsid w:val="00E6764A"/>
    <w:rsid w:val="00E67C51"/>
    <w:rsid w:val="00E7059B"/>
    <w:rsid w:val="00E71ACD"/>
    <w:rsid w:val="00E71D58"/>
    <w:rsid w:val="00E720CB"/>
    <w:rsid w:val="00E720F1"/>
    <w:rsid w:val="00E726FC"/>
    <w:rsid w:val="00E72EFC"/>
    <w:rsid w:val="00E73316"/>
    <w:rsid w:val="00E73385"/>
    <w:rsid w:val="00E73662"/>
    <w:rsid w:val="00E736EF"/>
    <w:rsid w:val="00E73885"/>
    <w:rsid w:val="00E73B69"/>
    <w:rsid w:val="00E73E57"/>
    <w:rsid w:val="00E73FED"/>
    <w:rsid w:val="00E7444D"/>
    <w:rsid w:val="00E74481"/>
    <w:rsid w:val="00E746D7"/>
    <w:rsid w:val="00E747EE"/>
    <w:rsid w:val="00E74815"/>
    <w:rsid w:val="00E74871"/>
    <w:rsid w:val="00E758EC"/>
    <w:rsid w:val="00E75ED9"/>
    <w:rsid w:val="00E8096E"/>
    <w:rsid w:val="00E81E0D"/>
    <w:rsid w:val="00E8234C"/>
    <w:rsid w:val="00E82F51"/>
    <w:rsid w:val="00E83272"/>
    <w:rsid w:val="00E83532"/>
    <w:rsid w:val="00E83719"/>
    <w:rsid w:val="00E837FF"/>
    <w:rsid w:val="00E83AA9"/>
    <w:rsid w:val="00E83E44"/>
    <w:rsid w:val="00E83ED0"/>
    <w:rsid w:val="00E841A5"/>
    <w:rsid w:val="00E8432A"/>
    <w:rsid w:val="00E84969"/>
    <w:rsid w:val="00E850F5"/>
    <w:rsid w:val="00E85467"/>
    <w:rsid w:val="00E85511"/>
    <w:rsid w:val="00E858AB"/>
    <w:rsid w:val="00E85928"/>
    <w:rsid w:val="00E85FD3"/>
    <w:rsid w:val="00E87036"/>
    <w:rsid w:val="00E8734E"/>
    <w:rsid w:val="00E87822"/>
    <w:rsid w:val="00E87C77"/>
    <w:rsid w:val="00E90395"/>
    <w:rsid w:val="00E90E49"/>
    <w:rsid w:val="00E910DA"/>
    <w:rsid w:val="00E917F9"/>
    <w:rsid w:val="00E91DEE"/>
    <w:rsid w:val="00E926A6"/>
    <w:rsid w:val="00E9291C"/>
    <w:rsid w:val="00E93131"/>
    <w:rsid w:val="00E9344E"/>
    <w:rsid w:val="00E939D6"/>
    <w:rsid w:val="00E93E4D"/>
    <w:rsid w:val="00E93FFE"/>
    <w:rsid w:val="00E944CA"/>
    <w:rsid w:val="00E947B5"/>
    <w:rsid w:val="00E94B45"/>
    <w:rsid w:val="00E94F8A"/>
    <w:rsid w:val="00E95931"/>
    <w:rsid w:val="00E95961"/>
    <w:rsid w:val="00E9645E"/>
    <w:rsid w:val="00E968BB"/>
    <w:rsid w:val="00E97331"/>
    <w:rsid w:val="00EA03D9"/>
    <w:rsid w:val="00EA1C24"/>
    <w:rsid w:val="00EA1C47"/>
    <w:rsid w:val="00EA267D"/>
    <w:rsid w:val="00EA2895"/>
    <w:rsid w:val="00EA34FA"/>
    <w:rsid w:val="00EA3A8E"/>
    <w:rsid w:val="00EA3BA4"/>
    <w:rsid w:val="00EA3C6D"/>
    <w:rsid w:val="00EA4962"/>
    <w:rsid w:val="00EA4CC1"/>
    <w:rsid w:val="00EA510F"/>
    <w:rsid w:val="00EA59A5"/>
    <w:rsid w:val="00EA5C81"/>
    <w:rsid w:val="00EA608E"/>
    <w:rsid w:val="00EA7030"/>
    <w:rsid w:val="00EA74FA"/>
    <w:rsid w:val="00EA78B6"/>
    <w:rsid w:val="00EA78DF"/>
    <w:rsid w:val="00EA7A41"/>
    <w:rsid w:val="00EA7A45"/>
    <w:rsid w:val="00EA7B73"/>
    <w:rsid w:val="00EA7E2F"/>
    <w:rsid w:val="00EA7E97"/>
    <w:rsid w:val="00EB077B"/>
    <w:rsid w:val="00EB0871"/>
    <w:rsid w:val="00EB094C"/>
    <w:rsid w:val="00EB1088"/>
    <w:rsid w:val="00EB1924"/>
    <w:rsid w:val="00EB24B5"/>
    <w:rsid w:val="00EB2B5E"/>
    <w:rsid w:val="00EB2FBC"/>
    <w:rsid w:val="00EB3489"/>
    <w:rsid w:val="00EB36C1"/>
    <w:rsid w:val="00EB4870"/>
    <w:rsid w:val="00EB4EA2"/>
    <w:rsid w:val="00EB5752"/>
    <w:rsid w:val="00EB68F0"/>
    <w:rsid w:val="00EB74F7"/>
    <w:rsid w:val="00EC0307"/>
    <w:rsid w:val="00EC24D5"/>
    <w:rsid w:val="00EC27C6"/>
    <w:rsid w:val="00EC28A8"/>
    <w:rsid w:val="00EC2D50"/>
    <w:rsid w:val="00EC2EE7"/>
    <w:rsid w:val="00EC322A"/>
    <w:rsid w:val="00EC34AC"/>
    <w:rsid w:val="00EC3F5C"/>
    <w:rsid w:val="00EC4080"/>
    <w:rsid w:val="00EC40EF"/>
    <w:rsid w:val="00EC4207"/>
    <w:rsid w:val="00EC45A6"/>
    <w:rsid w:val="00EC4A13"/>
    <w:rsid w:val="00EC4AA0"/>
    <w:rsid w:val="00EC5653"/>
    <w:rsid w:val="00EC599C"/>
    <w:rsid w:val="00EC5A8D"/>
    <w:rsid w:val="00EC5C40"/>
    <w:rsid w:val="00EC63F3"/>
    <w:rsid w:val="00EC6863"/>
    <w:rsid w:val="00EC71CE"/>
    <w:rsid w:val="00EC7784"/>
    <w:rsid w:val="00ED0001"/>
    <w:rsid w:val="00ED0A01"/>
    <w:rsid w:val="00ED0C05"/>
    <w:rsid w:val="00ED0D7A"/>
    <w:rsid w:val="00ED1006"/>
    <w:rsid w:val="00ED288D"/>
    <w:rsid w:val="00ED2A85"/>
    <w:rsid w:val="00ED2C8D"/>
    <w:rsid w:val="00ED2D2B"/>
    <w:rsid w:val="00ED329D"/>
    <w:rsid w:val="00ED402D"/>
    <w:rsid w:val="00ED4353"/>
    <w:rsid w:val="00ED4F36"/>
    <w:rsid w:val="00ED54AA"/>
    <w:rsid w:val="00ED575E"/>
    <w:rsid w:val="00ED6480"/>
    <w:rsid w:val="00ED7428"/>
    <w:rsid w:val="00ED7D73"/>
    <w:rsid w:val="00EE118D"/>
    <w:rsid w:val="00EE2098"/>
    <w:rsid w:val="00EE22DA"/>
    <w:rsid w:val="00EE24FB"/>
    <w:rsid w:val="00EE25FD"/>
    <w:rsid w:val="00EE293E"/>
    <w:rsid w:val="00EE2F89"/>
    <w:rsid w:val="00EE30E8"/>
    <w:rsid w:val="00EE335F"/>
    <w:rsid w:val="00EE37BF"/>
    <w:rsid w:val="00EE388B"/>
    <w:rsid w:val="00EE3AD9"/>
    <w:rsid w:val="00EE3C37"/>
    <w:rsid w:val="00EE3E5C"/>
    <w:rsid w:val="00EE4186"/>
    <w:rsid w:val="00EE4596"/>
    <w:rsid w:val="00EE4D16"/>
    <w:rsid w:val="00EE4D9D"/>
    <w:rsid w:val="00EE5EFE"/>
    <w:rsid w:val="00EE651E"/>
    <w:rsid w:val="00EE6629"/>
    <w:rsid w:val="00EE6782"/>
    <w:rsid w:val="00EE6A96"/>
    <w:rsid w:val="00EE7D73"/>
    <w:rsid w:val="00EF18FE"/>
    <w:rsid w:val="00EF2625"/>
    <w:rsid w:val="00EF2BD5"/>
    <w:rsid w:val="00EF32A9"/>
    <w:rsid w:val="00EF376D"/>
    <w:rsid w:val="00EF4969"/>
    <w:rsid w:val="00EF5206"/>
    <w:rsid w:val="00EF524D"/>
    <w:rsid w:val="00EF52BB"/>
    <w:rsid w:val="00EF5787"/>
    <w:rsid w:val="00EF60D0"/>
    <w:rsid w:val="00EF64CF"/>
    <w:rsid w:val="00EF6B8D"/>
    <w:rsid w:val="00EF6B98"/>
    <w:rsid w:val="00EF7206"/>
    <w:rsid w:val="00EF7414"/>
    <w:rsid w:val="00EF76CB"/>
    <w:rsid w:val="00F00025"/>
    <w:rsid w:val="00F01C32"/>
    <w:rsid w:val="00F01EEA"/>
    <w:rsid w:val="00F02604"/>
    <w:rsid w:val="00F02F09"/>
    <w:rsid w:val="00F03112"/>
    <w:rsid w:val="00F05060"/>
    <w:rsid w:val="00F05275"/>
    <w:rsid w:val="00F0528D"/>
    <w:rsid w:val="00F05887"/>
    <w:rsid w:val="00F05BAA"/>
    <w:rsid w:val="00F06461"/>
    <w:rsid w:val="00F069C7"/>
    <w:rsid w:val="00F06A4F"/>
    <w:rsid w:val="00F06C67"/>
    <w:rsid w:val="00F06DFD"/>
    <w:rsid w:val="00F071D1"/>
    <w:rsid w:val="00F07533"/>
    <w:rsid w:val="00F07A9E"/>
    <w:rsid w:val="00F1047F"/>
    <w:rsid w:val="00F10629"/>
    <w:rsid w:val="00F10D5F"/>
    <w:rsid w:val="00F1126E"/>
    <w:rsid w:val="00F11A03"/>
    <w:rsid w:val="00F124D0"/>
    <w:rsid w:val="00F1387A"/>
    <w:rsid w:val="00F13DBD"/>
    <w:rsid w:val="00F13DFD"/>
    <w:rsid w:val="00F141C6"/>
    <w:rsid w:val="00F148BA"/>
    <w:rsid w:val="00F15439"/>
    <w:rsid w:val="00F15FA5"/>
    <w:rsid w:val="00F16C6F"/>
    <w:rsid w:val="00F17765"/>
    <w:rsid w:val="00F17F4B"/>
    <w:rsid w:val="00F17FDA"/>
    <w:rsid w:val="00F209B7"/>
    <w:rsid w:val="00F20F5C"/>
    <w:rsid w:val="00F212A8"/>
    <w:rsid w:val="00F21347"/>
    <w:rsid w:val="00F213CB"/>
    <w:rsid w:val="00F2176D"/>
    <w:rsid w:val="00F2188D"/>
    <w:rsid w:val="00F2203B"/>
    <w:rsid w:val="00F2320D"/>
    <w:rsid w:val="00F2333B"/>
    <w:rsid w:val="00F23666"/>
    <w:rsid w:val="00F2376F"/>
    <w:rsid w:val="00F237A7"/>
    <w:rsid w:val="00F243D8"/>
    <w:rsid w:val="00F246A9"/>
    <w:rsid w:val="00F2596B"/>
    <w:rsid w:val="00F26044"/>
    <w:rsid w:val="00F268B2"/>
    <w:rsid w:val="00F269A1"/>
    <w:rsid w:val="00F2791D"/>
    <w:rsid w:val="00F30828"/>
    <w:rsid w:val="00F30844"/>
    <w:rsid w:val="00F313D6"/>
    <w:rsid w:val="00F31AFC"/>
    <w:rsid w:val="00F320F9"/>
    <w:rsid w:val="00F330A9"/>
    <w:rsid w:val="00F33880"/>
    <w:rsid w:val="00F3574F"/>
    <w:rsid w:val="00F35C5C"/>
    <w:rsid w:val="00F366A5"/>
    <w:rsid w:val="00F40033"/>
    <w:rsid w:val="00F40BBF"/>
    <w:rsid w:val="00F40F0C"/>
    <w:rsid w:val="00F4122B"/>
    <w:rsid w:val="00F412E3"/>
    <w:rsid w:val="00F417B4"/>
    <w:rsid w:val="00F422F8"/>
    <w:rsid w:val="00F42CB3"/>
    <w:rsid w:val="00F42D5B"/>
    <w:rsid w:val="00F42EEC"/>
    <w:rsid w:val="00F4323E"/>
    <w:rsid w:val="00F433FA"/>
    <w:rsid w:val="00F4423D"/>
    <w:rsid w:val="00F444CD"/>
    <w:rsid w:val="00F447AF"/>
    <w:rsid w:val="00F449EF"/>
    <w:rsid w:val="00F4766C"/>
    <w:rsid w:val="00F5060E"/>
    <w:rsid w:val="00F507D1"/>
    <w:rsid w:val="00F51140"/>
    <w:rsid w:val="00F519CE"/>
    <w:rsid w:val="00F51ADA"/>
    <w:rsid w:val="00F520D6"/>
    <w:rsid w:val="00F52260"/>
    <w:rsid w:val="00F52508"/>
    <w:rsid w:val="00F52771"/>
    <w:rsid w:val="00F52EE7"/>
    <w:rsid w:val="00F532A1"/>
    <w:rsid w:val="00F53564"/>
    <w:rsid w:val="00F53D9E"/>
    <w:rsid w:val="00F54050"/>
    <w:rsid w:val="00F542D2"/>
    <w:rsid w:val="00F544CC"/>
    <w:rsid w:val="00F546B4"/>
    <w:rsid w:val="00F54CEF"/>
    <w:rsid w:val="00F562A6"/>
    <w:rsid w:val="00F56A50"/>
    <w:rsid w:val="00F56DB5"/>
    <w:rsid w:val="00F574B4"/>
    <w:rsid w:val="00F57849"/>
    <w:rsid w:val="00F57980"/>
    <w:rsid w:val="00F57C28"/>
    <w:rsid w:val="00F60203"/>
    <w:rsid w:val="00F607C5"/>
    <w:rsid w:val="00F60DEA"/>
    <w:rsid w:val="00F6151C"/>
    <w:rsid w:val="00F61F54"/>
    <w:rsid w:val="00F621A8"/>
    <w:rsid w:val="00F6302A"/>
    <w:rsid w:val="00F631A0"/>
    <w:rsid w:val="00F633BB"/>
    <w:rsid w:val="00F63950"/>
    <w:rsid w:val="00F6437A"/>
    <w:rsid w:val="00F648C4"/>
    <w:rsid w:val="00F64C2B"/>
    <w:rsid w:val="00F64E8C"/>
    <w:rsid w:val="00F651BE"/>
    <w:rsid w:val="00F66012"/>
    <w:rsid w:val="00F66B6C"/>
    <w:rsid w:val="00F66CB6"/>
    <w:rsid w:val="00F675C1"/>
    <w:rsid w:val="00F67769"/>
    <w:rsid w:val="00F677F2"/>
    <w:rsid w:val="00F67F53"/>
    <w:rsid w:val="00F703BE"/>
    <w:rsid w:val="00F70CC5"/>
    <w:rsid w:val="00F71370"/>
    <w:rsid w:val="00F71F69"/>
    <w:rsid w:val="00F72422"/>
    <w:rsid w:val="00F72B72"/>
    <w:rsid w:val="00F72FE6"/>
    <w:rsid w:val="00F733B9"/>
    <w:rsid w:val="00F73485"/>
    <w:rsid w:val="00F742E3"/>
    <w:rsid w:val="00F74BB9"/>
    <w:rsid w:val="00F75038"/>
    <w:rsid w:val="00F75171"/>
    <w:rsid w:val="00F75223"/>
    <w:rsid w:val="00F75426"/>
    <w:rsid w:val="00F75460"/>
    <w:rsid w:val="00F75582"/>
    <w:rsid w:val="00F756AC"/>
    <w:rsid w:val="00F765EF"/>
    <w:rsid w:val="00F76676"/>
    <w:rsid w:val="00F76CE2"/>
    <w:rsid w:val="00F76EFA"/>
    <w:rsid w:val="00F7751D"/>
    <w:rsid w:val="00F77A62"/>
    <w:rsid w:val="00F804BE"/>
    <w:rsid w:val="00F80773"/>
    <w:rsid w:val="00F8129C"/>
    <w:rsid w:val="00F817CE"/>
    <w:rsid w:val="00F827D7"/>
    <w:rsid w:val="00F82806"/>
    <w:rsid w:val="00F82826"/>
    <w:rsid w:val="00F83048"/>
    <w:rsid w:val="00F83DC7"/>
    <w:rsid w:val="00F84087"/>
    <w:rsid w:val="00F84395"/>
    <w:rsid w:val="00F8456C"/>
    <w:rsid w:val="00F84A48"/>
    <w:rsid w:val="00F859D8"/>
    <w:rsid w:val="00F866A4"/>
    <w:rsid w:val="00F868F5"/>
    <w:rsid w:val="00F87B0B"/>
    <w:rsid w:val="00F87C8C"/>
    <w:rsid w:val="00F87EF2"/>
    <w:rsid w:val="00F9056A"/>
    <w:rsid w:val="00F90F8D"/>
    <w:rsid w:val="00F9127D"/>
    <w:rsid w:val="00F91CCD"/>
    <w:rsid w:val="00F924A1"/>
    <w:rsid w:val="00F92782"/>
    <w:rsid w:val="00F92EE2"/>
    <w:rsid w:val="00F93277"/>
    <w:rsid w:val="00F93AA9"/>
    <w:rsid w:val="00F93B18"/>
    <w:rsid w:val="00F94B79"/>
    <w:rsid w:val="00F950B1"/>
    <w:rsid w:val="00F95761"/>
    <w:rsid w:val="00F96612"/>
    <w:rsid w:val="00F96985"/>
    <w:rsid w:val="00F96FDF"/>
    <w:rsid w:val="00F97661"/>
    <w:rsid w:val="00F97838"/>
    <w:rsid w:val="00FA073D"/>
    <w:rsid w:val="00FA1496"/>
    <w:rsid w:val="00FA1AB9"/>
    <w:rsid w:val="00FA1E16"/>
    <w:rsid w:val="00FA26D9"/>
    <w:rsid w:val="00FA2BB3"/>
    <w:rsid w:val="00FA30CF"/>
    <w:rsid w:val="00FA399E"/>
    <w:rsid w:val="00FA3CE8"/>
    <w:rsid w:val="00FA3DD6"/>
    <w:rsid w:val="00FA4023"/>
    <w:rsid w:val="00FA6145"/>
    <w:rsid w:val="00FA7002"/>
    <w:rsid w:val="00FB0466"/>
    <w:rsid w:val="00FB133D"/>
    <w:rsid w:val="00FB1371"/>
    <w:rsid w:val="00FB2B59"/>
    <w:rsid w:val="00FB2E33"/>
    <w:rsid w:val="00FB4359"/>
    <w:rsid w:val="00FB45FD"/>
    <w:rsid w:val="00FB4A4E"/>
    <w:rsid w:val="00FB4B67"/>
    <w:rsid w:val="00FB4C80"/>
    <w:rsid w:val="00FB5123"/>
    <w:rsid w:val="00FB52A5"/>
    <w:rsid w:val="00FB5537"/>
    <w:rsid w:val="00FB6A6A"/>
    <w:rsid w:val="00FB77FB"/>
    <w:rsid w:val="00FB7E06"/>
    <w:rsid w:val="00FB7ED3"/>
    <w:rsid w:val="00FC07A6"/>
    <w:rsid w:val="00FC09D8"/>
    <w:rsid w:val="00FC19DA"/>
    <w:rsid w:val="00FC1A0B"/>
    <w:rsid w:val="00FC3A6A"/>
    <w:rsid w:val="00FC3D02"/>
    <w:rsid w:val="00FC41D0"/>
    <w:rsid w:val="00FC4FA2"/>
    <w:rsid w:val="00FC5003"/>
    <w:rsid w:val="00FC5004"/>
    <w:rsid w:val="00FC5B2D"/>
    <w:rsid w:val="00FC5B53"/>
    <w:rsid w:val="00FC5D1E"/>
    <w:rsid w:val="00FC6334"/>
    <w:rsid w:val="00FC6EF4"/>
    <w:rsid w:val="00FC7429"/>
    <w:rsid w:val="00FD07F6"/>
    <w:rsid w:val="00FD11D7"/>
    <w:rsid w:val="00FD1314"/>
    <w:rsid w:val="00FD13F2"/>
    <w:rsid w:val="00FD17F7"/>
    <w:rsid w:val="00FD1EAE"/>
    <w:rsid w:val="00FD1EC8"/>
    <w:rsid w:val="00FD47ED"/>
    <w:rsid w:val="00FD5DE3"/>
    <w:rsid w:val="00FD74DB"/>
    <w:rsid w:val="00FD7660"/>
    <w:rsid w:val="00FD780D"/>
    <w:rsid w:val="00FD7AE2"/>
    <w:rsid w:val="00FD7CE3"/>
    <w:rsid w:val="00FD7E12"/>
    <w:rsid w:val="00FE0655"/>
    <w:rsid w:val="00FE0975"/>
    <w:rsid w:val="00FE0AB7"/>
    <w:rsid w:val="00FE1133"/>
    <w:rsid w:val="00FE11E6"/>
    <w:rsid w:val="00FE1399"/>
    <w:rsid w:val="00FE1D01"/>
    <w:rsid w:val="00FE2365"/>
    <w:rsid w:val="00FE3531"/>
    <w:rsid w:val="00FE37D7"/>
    <w:rsid w:val="00FE4003"/>
    <w:rsid w:val="00FE4C31"/>
    <w:rsid w:val="00FE4C7B"/>
    <w:rsid w:val="00FE4EF5"/>
    <w:rsid w:val="00FE667A"/>
    <w:rsid w:val="00FE7256"/>
    <w:rsid w:val="00FE7336"/>
    <w:rsid w:val="00FE787C"/>
    <w:rsid w:val="00FE7FD8"/>
    <w:rsid w:val="00FF06E3"/>
    <w:rsid w:val="00FF0808"/>
    <w:rsid w:val="00FF09D7"/>
    <w:rsid w:val="00FF0D0B"/>
    <w:rsid w:val="00FF0D21"/>
    <w:rsid w:val="00FF1328"/>
    <w:rsid w:val="00FF1A74"/>
    <w:rsid w:val="00FF2644"/>
    <w:rsid w:val="00FF28FA"/>
    <w:rsid w:val="00FF2C32"/>
    <w:rsid w:val="00FF30DB"/>
    <w:rsid w:val="00FF3840"/>
    <w:rsid w:val="00FF38F8"/>
    <w:rsid w:val="00FF3E9D"/>
    <w:rsid w:val="00FF45A5"/>
    <w:rsid w:val="00FF499A"/>
    <w:rsid w:val="00FF4A90"/>
    <w:rsid w:val="00FF4EC7"/>
    <w:rsid w:val="00FF509F"/>
    <w:rsid w:val="00FF5AD7"/>
    <w:rsid w:val="00FF5C5D"/>
    <w:rsid w:val="00FF5C91"/>
    <w:rsid w:val="00FF5D2D"/>
    <w:rsid w:val="00FF5EB3"/>
    <w:rsid w:val="00FF6A7C"/>
    <w:rsid w:val="00FF7B1C"/>
    <w:rsid w:val="00FF7EA0"/>
    <w:rsid w:val="2295E5E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qFormat="1"/>
    <w:lsdException w:name="caption" w:uiPriority="99" w:qFormat="1"/>
    <w:lsdException w:name="table of figures" w:uiPriority="99"/>
    <w:lsdException w:name="annotation reference" w:uiPriority="99" w:qFormat="1"/>
    <w:lsdException w:name="Title" w:qFormat="1"/>
    <w:lsdException w:name="Default Paragraph Font" w:uiPriority="1"/>
    <w:lsdException w:name="Body Text" w:qFormat="1"/>
    <w:lsdException w:name="Body Text Indent" w:uiPriority="99"/>
    <w:lsdException w:name="Subtitle" w:uiPriority="11" w:qFormat="1"/>
    <w:lsdException w:name="Date" w:uiPriority="99"/>
    <w:lsdException w:name="Hyperlink" w:uiPriority="99"/>
    <w:lsdException w:name="Strong" w:uiPriority="22" w:qFormat="1"/>
    <w:lsdException w:name="Emphasis" w:uiPriority="20" w:qFormat="1"/>
    <w:lsdException w:name="Plain Text" w:uiPriority="99"/>
    <w:lsdException w:name="HTML Top of Form" w:uiPriority="99"/>
    <w:lsdException w:name="HTML Bottom of Form" w:uiPriority="99"/>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8D00A5"/>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8D00A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8D00A5"/>
    <w:pPr>
      <w:ind w:left="1418" w:hanging="1418"/>
      <w:outlineLvl w:val="3"/>
    </w:pPr>
    <w:rPr>
      <w:sz w:val="24"/>
    </w:rPr>
  </w:style>
  <w:style w:type="paragraph" w:styleId="Heading5">
    <w:name w:val="heading 5"/>
    <w:aliases w:val="h5,Heading5,H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aliases w:val="Table Heading"/>
    <w:basedOn w:val="Heading1"/>
    <w:next w:val="Normal"/>
    <w:link w:val="Heading8Char"/>
    <w:qFormat/>
    <w:rsid w:val="008D00A5"/>
    <w:pPr>
      <w:ind w:left="0" w:firstLine="0"/>
      <w:outlineLvl w:val="7"/>
    </w:pPr>
  </w:style>
  <w:style w:type="paragraph" w:styleId="Heading9">
    <w:name w:val="heading 9"/>
    <w:aliases w:val="Figure Heading,FH"/>
    <w:basedOn w:val="Heading8"/>
    <w:next w:val="Normal"/>
    <w:link w:val="Heading9Char"/>
    <w:qFormat/>
    <w:rsid w:val="008D00A5"/>
    <w:pPr>
      <w:outlineLvl w:val="8"/>
    </w:pPr>
  </w:style>
  <w:style w:type="character" w:default="1" w:styleId="DefaultParagraphFont">
    <w:name w:val="Default Paragraph Font"/>
    <w:uiPriority w:val="1"/>
    <w:semiHidden/>
    <w:unhideWhenUsed/>
    <w:rsid w:val="008C02A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C02A7"/>
  </w:style>
  <w:style w:type="paragraph" w:styleId="TOC8">
    <w:name w:val="toc 8"/>
    <w:basedOn w:val="TOC1"/>
    <w:rsid w:val="008D00A5"/>
    <w:pPr>
      <w:spacing w:before="180"/>
      <w:ind w:left="2693" w:hanging="2693"/>
    </w:pPr>
    <w:rPr>
      <w:b/>
    </w:rPr>
  </w:style>
  <w:style w:type="paragraph" w:styleId="TOC1">
    <w:name w:val="toc 1"/>
    <w:aliases w:val="Observation TOC2"/>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qFormat/>
    <w:rsid w:val="009E35DB"/>
    <w:pPr>
      <w:keepNext/>
      <w:keepLines/>
      <w:spacing w:before="180"/>
      <w:jc w:val="center"/>
    </w:pPr>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条目"/>
    <w:basedOn w:val="Normal"/>
    <w:next w:val="Normal"/>
    <w:link w:val="CaptionChar1"/>
    <w:uiPriority w:val="99"/>
    <w:qFormat/>
    <w:rsid w:val="008D00A5"/>
    <w:pPr>
      <w:spacing w:before="120" w:after="120"/>
    </w:pPr>
    <w:rPr>
      <w:b/>
      <w:lang w:eastAsia="en-GB"/>
    </w:rPr>
  </w:style>
  <w:style w:type="paragraph" w:styleId="TOC5">
    <w:name w:val="toc 5"/>
    <w:aliases w:val="Observation TOC"/>
    <w:basedOn w:val="TOC4"/>
    <w:rsid w:val="008D00A5"/>
    <w:pPr>
      <w:ind w:left="1701" w:hanging="1701"/>
    </w:pPr>
  </w:style>
  <w:style w:type="paragraph" w:styleId="TOC4">
    <w:name w:val="toc 4"/>
    <w:basedOn w:val="TOC3"/>
    <w:rsid w:val="008D00A5"/>
    <w:pPr>
      <w:ind w:left="1418" w:hanging="1418"/>
    </w:pPr>
  </w:style>
  <w:style w:type="paragraph" w:styleId="TOC3">
    <w:name w:val="toc 3"/>
    <w:basedOn w:val="TOC2"/>
    <w:rsid w:val="008D00A5"/>
    <w:pPr>
      <w:ind w:left="1134" w:hanging="1134"/>
    </w:pPr>
  </w:style>
  <w:style w:type="paragraph" w:styleId="TOC2">
    <w:name w:val="toc 2"/>
    <w:basedOn w:val="TOC1"/>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link w:val="ListChar"/>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D00A5"/>
    <w:pPr>
      <w:keepLines/>
      <w:spacing w:after="0"/>
      <w:ind w:left="454" w:hanging="454"/>
    </w:pPr>
    <w:rPr>
      <w:sz w:val="16"/>
    </w:rPr>
  </w:style>
  <w:style w:type="paragraph" w:customStyle="1" w:styleId="3GPPHeader">
    <w:name w:val="3GPP_Header"/>
    <w:basedOn w:val="BodyText"/>
    <w:qFormat/>
    <w:rsid w:val="009E35DB"/>
    <w:pPr>
      <w:tabs>
        <w:tab w:val="left" w:pos="1701"/>
        <w:tab w:val="right" w:pos="9639"/>
      </w:tabs>
      <w:spacing w:after="240"/>
    </w:pPr>
    <w:rPr>
      <w:b/>
      <w:sz w:val="24"/>
    </w:rPr>
  </w:style>
  <w:style w:type="paragraph" w:styleId="TOC9">
    <w:name w:val="toc 9"/>
    <w:basedOn w:val="TOC8"/>
    <w:rsid w:val="008D00A5"/>
    <w:pPr>
      <w:ind w:left="1418" w:hanging="1418"/>
    </w:pPr>
  </w:style>
  <w:style w:type="paragraph" w:styleId="TOC6">
    <w:name w:val="toc 6"/>
    <w:basedOn w:val="TOC5"/>
    <w:next w:val="Normal"/>
    <w:rsid w:val="008D00A5"/>
    <w:pPr>
      <w:ind w:left="1985" w:hanging="1985"/>
    </w:pPr>
  </w:style>
  <w:style w:type="paragraph" w:styleId="TOC7">
    <w:name w:val="toc 7"/>
    <w:basedOn w:val="TOC6"/>
    <w:next w:val="Normal"/>
    <w:rsid w:val="008D00A5"/>
    <w:pPr>
      <w:ind w:left="2268" w:hanging="2268"/>
    </w:pPr>
  </w:style>
  <w:style w:type="paragraph" w:styleId="ListBullet2">
    <w:name w:val="List Bullet 2"/>
    <w:aliases w:val="lb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qFormat/>
    <w:rsid w:val="008D00A5"/>
    <w:pPr>
      <w:keepLines/>
      <w:tabs>
        <w:tab w:val="center" w:pos="4536"/>
        <w:tab w:val="right" w:pos="9072"/>
      </w:tabs>
    </w:pPr>
    <w:rPr>
      <w:noProof/>
    </w:rPr>
  </w:style>
  <w:style w:type="paragraph" w:styleId="List2">
    <w:name w:val="List 2"/>
    <w:basedOn w:val="List"/>
    <w:link w:val="List2Char"/>
    <w:rsid w:val="003A70A4"/>
    <w:pPr>
      <w:ind w:left="851"/>
    </w:pPr>
    <w:rPr>
      <w:lang w:eastAsia="ja-JP"/>
    </w:rPr>
  </w:style>
  <w:style w:type="paragraph" w:styleId="List3">
    <w:name w:val="List 3"/>
    <w:basedOn w:val="List2"/>
    <w:link w:val="List3Char"/>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qFormat/>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left" w:pos="1701"/>
      </w:tabs>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uiPriority w:val="99"/>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uiPriority w:val="99"/>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uiPriority w:val="99"/>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link w:val="Heading2"/>
    <w:rsid w:val="008D00A5"/>
    <w:rPr>
      <w:rFonts w:ascii="Arial" w:hAnsi="Arial"/>
      <w:sz w:val="32"/>
      <w:lang w:eastAsia="ja-JP"/>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D00A5"/>
    <w:rPr>
      <w:rFonts w:ascii="Arial" w:hAnsi="Arial"/>
      <w:sz w:val="24"/>
      <w:lang w:eastAsia="ja-JP"/>
    </w:rPr>
  </w:style>
  <w:style w:type="character" w:customStyle="1" w:styleId="Heading5Char">
    <w:name w:val="Heading 5 Char"/>
    <w:aliases w:val="h5 Char,Heading5 Char,H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aliases w:val="Table Heading Char"/>
    <w:link w:val="Heading8"/>
    <w:uiPriority w:val="9"/>
    <w:rsid w:val="008D00A5"/>
    <w:rPr>
      <w:rFonts w:ascii="Arial" w:hAnsi="Arial"/>
      <w:sz w:val="36"/>
      <w:lang w:eastAsia="ja-JP"/>
    </w:rPr>
  </w:style>
  <w:style w:type="character" w:customStyle="1" w:styleId="Heading9Char">
    <w:name w:val="Heading 9 Char"/>
    <w:aliases w:val="Figure Heading Char,FH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uiPriority w:val="99"/>
    <w:rsid w:val="008D00A5"/>
    <w:rPr>
      <w:rFonts w:ascii="Courier New" w:hAnsi="Courier New"/>
      <w:lang w:val="nb-NO"/>
    </w:rPr>
  </w:style>
  <w:style w:type="character" w:customStyle="1" w:styleId="PlainTextChar">
    <w:name w:val="Plain Text Char"/>
    <w:link w:val="PlainText"/>
    <w:uiPriority w:val="99"/>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paragraph" w:customStyle="1" w:styleId="paragraph">
    <w:name w:val="paragraph"/>
    <w:basedOn w:val="Normal"/>
    <w:rsid w:val="0090673E"/>
    <w:pPr>
      <w:overflowPunct/>
      <w:autoSpaceDE/>
      <w:autoSpaceDN/>
      <w:adjustRightInd/>
      <w:spacing w:after="0"/>
      <w:textAlignment w:val="auto"/>
    </w:pPr>
    <w:rPr>
      <w:sz w:val="24"/>
      <w:szCs w:val="24"/>
      <w:lang w:val="en-US" w:eastAsia="en-US"/>
    </w:rPr>
  </w:style>
  <w:style w:type="character" w:customStyle="1" w:styleId="normaltextrun1">
    <w:name w:val="normaltextrun1"/>
    <w:basedOn w:val="DefaultParagraphFont"/>
    <w:rsid w:val="0090673E"/>
  </w:style>
  <w:style w:type="character" w:customStyle="1" w:styleId="eop">
    <w:name w:val="eop"/>
    <w:basedOn w:val="DefaultParagraphFont"/>
    <w:rsid w:val="0090673E"/>
  </w:style>
  <w:style w:type="character" w:customStyle="1" w:styleId="IvDbodytextChar">
    <w:name w:val="IvD bodytext Char"/>
    <w:basedOn w:val="DefaultParagraphFont"/>
    <w:link w:val="IvDbodytext"/>
    <w:locked/>
    <w:rsid w:val="00E9645E"/>
    <w:rPr>
      <w:rFonts w:ascii="Arial" w:hAnsi="Arial" w:cs="Arial"/>
      <w:spacing w:val="2"/>
      <w:sz w:val="22"/>
    </w:rPr>
  </w:style>
  <w:style w:type="paragraph" w:customStyle="1" w:styleId="IvDbodytext">
    <w:name w:val="IvD bodytext"/>
    <w:basedOn w:val="BodyText"/>
    <w:link w:val="IvDbodytextChar"/>
    <w:qFormat/>
    <w:rsid w:val="00E9645E"/>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spacing w:val="2"/>
      <w:sz w:val="22"/>
      <w:lang w:eastAsia="en-GB"/>
    </w:rPr>
  </w:style>
  <w:style w:type="character" w:customStyle="1" w:styleId="IvDInstructiontextChar">
    <w:name w:val="IvD Instructiontext Char"/>
    <w:link w:val="IvDInstructiontext"/>
    <w:uiPriority w:val="99"/>
    <w:locked/>
    <w:rsid w:val="003E1CE7"/>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3E1CE7"/>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i/>
      <w:color w:val="7F7F7F" w:themeColor="text1" w:themeTint="80"/>
      <w:spacing w:val="2"/>
      <w:sz w:val="18"/>
      <w:szCs w:val="18"/>
      <w:lang w:eastAsia="en-GB"/>
    </w:rPr>
  </w:style>
  <w:style w:type="paragraph" w:styleId="Revision">
    <w:name w:val="Revision"/>
    <w:hidden/>
    <w:uiPriority w:val="99"/>
    <w:semiHidden/>
    <w:rsid w:val="00F2176D"/>
    <w:rPr>
      <w:rFonts w:ascii="Times New Roman" w:hAnsi="Times New Roman"/>
      <w:lang w:eastAsia="ja-JP"/>
    </w:rPr>
  </w:style>
  <w:style w:type="character" w:customStyle="1" w:styleId="B1Char">
    <w:name w:val="B1 Char"/>
    <w:rsid w:val="00C747A9"/>
    <w:rPr>
      <w:lang w:val="en-GB"/>
    </w:rPr>
  </w:style>
  <w:style w:type="paragraph" w:styleId="ListNumber4">
    <w:name w:val="List Number 4"/>
    <w:basedOn w:val="Normal"/>
    <w:rsid w:val="00C747A9"/>
    <w:pPr>
      <w:numPr>
        <w:numId w:val="14"/>
      </w:numPr>
      <w:tabs>
        <w:tab w:val="left" w:pos="720"/>
        <w:tab w:val="left" w:pos="1209"/>
      </w:tabs>
      <w:ind w:left="1209"/>
    </w:pPr>
    <w:rPr>
      <w:rFonts w:eastAsia="MS Mincho"/>
      <w:lang w:eastAsia="en-GB"/>
    </w:rPr>
  </w:style>
  <w:style w:type="character" w:customStyle="1" w:styleId="ReferenceChar">
    <w:name w:val="Reference Char"/>
    <w:link w:val="Reference"/>
    <w:rsid w:val="007145F3"/>
    <w:rPr>
      <w:rFonts w:ascii="Arial" w:hAnsi="Arial"/>
      <w:lang w:eastAsia="zh-CN"/>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条目 Char"/>
    <w:link w:val="Caption"/>
    <w:uiPriority w:val="99"/>
    <w:rsid w:val="00BB5D65"/>
    <w:rPr>
      <w:rFonts w:ascii="Times New Roman" w:hAnsi="Times New Roman"/>
      <w:b/>
    </w:rPr>
  </w:style>
  <w:style w:type="paragraph" w:styleId="HTMLPreformatted">
    <w:name w:val="HTML Preformatted"/>
    <w:basedOn w:val="Normal"/>
    <w:link w:val="HTMLPreformattedChar"/>
    <w:unhideWhenUsed/>
    <w:rsid w:val="000B7F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cs="Courier New"/>
      <w:lang w:val="sv-SE" w:eastAsia="sv-SE"/>
    </w:rPr>
  </w:style>
  <w:style w:type="character" w:customStyle="1" w:styleId="HTMLPreformattedChar">
    <w:name w:val="HTML Preformatted Char"/>
    <w:basedOn w:val="DefaultParagraphFont"/>
    <w:link w:val="HTMLPreformatted"/>
    <w:rsid w:val="000B7F6B"/>
    <w:rPr>
      <w:rFonts w:ascii="Courier New" w:hAnsi="Courier New" w:cs="Courier New"/>
      <w:lang w:val="sv-SE" w:eastAsia="sv-SE"/>
    </w:rPr>
  </w:style>
  <w:style w:type="paragraph" w:styleId="NormalWeb">
    <w:name w:val="Normal (Web)"/>
    <w:basedOn w:val="Normal"/>
    <w:uiPriority w:val="99"/>
    <w:unhideWhenUsed/>
    <w:rsid w:val="00D82E43"/>
    <w:pPr>
      <w:overflowPunct/>
      <w:autoSpaceDE/>
      <w:autoSpaceDN/>
      <w:adjustRightInd/>
      <w:spacing w:before="100" w:beforeAutospacing="1" w:after="100" w:afterAutospacing="1"/>
      <w:textAlignment w:val="auto"/>
    </w:pPr>
    <w:rPr>
      <w:sz w:val="24"/>
      <w:szCs w:val="24"/>
      <w:lang w:val="sv-SE" w:eastAsia="sv-SE"/>
    </w:rPr>
  </w:style>
  <w:style w:type="character" w:customStyle="1" w:styleId="B1Zchn">
    <w:name w:val="B1 Zchn"/>
    <w:rsid w:val="009A7E4E"/>
    <w:rPr>
      <w:lang w:eastAsia="en-US"/>
    </w:rPr>
  </w:style>
  <w:style w:type="character" w:customStyle="1" w:styleId="B2Car">
    <w:name w:val="B2 Car"/>
    <w:rsid w:val="009A7E4E"/>
    <w:rPr>
      <w:lang w:val="en-GB" w:eastAsia="en-US"/>
    </w:rPr>
  </w:style>
  <w:style w:type="character" w:customStyle="1" w:styleId="TALChar">
    <w:name w:val="TAL Char"/>
    <w:rsid w:val="009A7E4E"/>
    <w:rPr>
      <w:rFonts w:ascii="Arial" w:hAnsi="Arial"/>
      <w:sz w:val="18"/>
      <w:lang w:val="en-GB" w:eastAsia="en-US"/>
    </w:rPr>
  </w:style>
  <w:style w:type="paragraph" w:customStyle="1" w:styleId="INDENT1">
    <w:name w:val="INDENT1"/>
    <w:basedOn w:val="Normal"/>
    <w:rsid w:val="009A7E4E"/>
    <w:pPr>
      <w:ind w:left="851"/>
    </w:pPr>
    <w:rPr>
      <w:lang w:eastAsia="en-GB"/>
    </w:rPr>
  </w:style>
  <w:style w:type="paragraph" w:customStyle="1" w:styleId="INDENT2">
    <w:name w:val="INDENT2"/>
    <w:basedOn w:val="Normal"/>
    <w:rsid w:val="009A7E4E"/>
    <w:pPr>
      <w:ind w:left="1135" w:hanging="284"/>
    </w:pPr>
    <w:rPr>
      <w:lang w:eastAsia="en-GB"/>
    </w:rPr>
  </w:style>
  <w:style w:type="paragraph" w:customStyle="1" w:styleId="INDENT3">
    <w:name w:val="INDENT3"/>
    <w:basedOn w:val="Normal"/>
    <w:rsid w:val="009A7E4E"/>
    <w:pPr>
      <w:ind w:left="1701" w:hanging="567"/>
    </w:pPr>
    <w:rPr>
      <w:lang w:eastAsia="en-GB"/>
    </w:rPr>
  </w:style>
  <w:style w:type="paragraph" w:customStyle="1" w:styleId="RecCCITT">
    <w:name w:val="Rec_CCITT_#"/>
    <w:basedOn w:val="Normal"/>
    <w:rsid w:val="009A7E4E"/>
    <w:pPr>
      <w:keepNext/>
      <w:keepLines/>
    </w:pPr>
    <w:rPr>
      <w:b/>
      <w:lang w:eastAsia="en-GB"/>
    </w:rPr>
  </w:style>
  <w:style w:type="paragraph" w:customStyle="1" w:styleId="enumlev2">
    <w:name w:val="enumlev2"/>
    <w:basedOn w:val="Normal"/>
    <w:rsid w:val="009A7E4E"/>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9A7E4E"/>
    <w:pPr>
      <w:keepNext/>
      <w:keepLines/>
      <w:spacing w:before="240"/>
      <w:ind w:left="1418"/>
    </w:pPr>
    <w:rPr>
      <w:rFonts w:ascii="Arial" w:hAnsi="Arial"/>
      <w:b/>
      <w:sz w:val="36"/>
      <w:lang w:val="en-US" w:eastAsia="en-GB"/>
    </w:rPr>
  </w:style>
  <w:style w:type="paragraph" w:styleId="BodyText2">
    <w:name w:val="Body Text 2"/>
    <w:basedOn w:val="Normal"/>
    <w:link w:val="BodyText2Char"/>
    <w:rsid w:val="009A7E4E"/>
    <w:pPr>
      <w:widowControl w:val="0"/>
      <w:tabs>
        <w:tab w:val="left" w:pos="2205"/>
      </w:tabs>
      <w:spacing w:after="0"/>
      <w:ind w:left="630"/>
      <w:jc w:val="both"/>
    </w:pPr>
    <w:rPr>
      <w:kern w:val="2"/>
      <w:sz w:val="21"/>
      <w:lang w:val="x-none" w:eastAsia="x-none"/>
    </w:rPr>
  </w:style>
  <w:style w:type="character" w:customStyle="1" w:styleId="BodyText2Char">
    <w:name w:val="Body Text 2 Char"/>
    <w:basedOn w:val="DefaultParagraphFont"/>
    <w:link w:val="BodyText2"/>
    <w:rsid w:val="009A7E4E"/>
    <w:rPr>
      <w:rFonts w:ascii="Times New Roman" w:hAnsi="Times New Roman"/>
      <w:kern w:val="2"/>
      <w:sz w:val="21"/>
      <w:lang w:val="x-none" w:eastAsia="x-none"/>
    </w:rPr>
  </w:style>
  <w:style w:type="paragraph" w:styleId="BodyTextIndent2">
    <w:name w:val="Body Text Indent 2"/>
    <w:basedOn w:val="Normal"/>
    <w:link w:val="BodyTextIndent2Char"/>
    <w:rsid w:val="009A7E4E"/>
    <w:pPr>
      <w:widowControl w:val="0"/>
      <w:tabs>
        <w:tab w:val="left" w:pos="2205"/>
      </w:tabs>
      <w:spacing w:after="0"/>
      <w:ind w:left="200"/>
      <w:jc w:val="both"/>
    </w:pPr>
    <w:rPr>
      <w:kern w:val="2"/>
      <w:lang w:val="x-none" w:eastAsia="x-none"/>
    </w:rPr>
  </w:style>
  <w:style w:type="character" w:customStyle="1" w:styleId="BodyTextIndent2Char">
    <w:name w:val="Body Text Indent 2 Char"/>
    <w:basedOn w:val="DefaultParagraphFont"/>
    <w:link w:val="BodyTextIndent2"/>
    <w:rsid w:val="009A7E4E"/>
    <w:rPr>
      <w:rFonts w:ascii="Times New Roman" w:hAnsi="Times New Roman"/>
      <w:kern w:val="2"/>
      <w:lang w:val="x-none" w:eastAsia="x-none"/>
    </w:rPr>
  </w:style>
  <w:style w:type="paragraph" w:styleId="BodyTextIndent3">
    <w:name w:val="Body Text Indent 3"/>
    <w:basedOn w:val="Normal"/>
    <w:link w:val="BodyTextIndent3Char"/>
    <w:rsid w:val="009A7E4E"/>
    <w:pPr>
      <w:spacing w:after="0"/>
      <w:ind w:left="1080"/>
    </w:pPr>
    <w:rPr>
      <w:lang w:val="en-US"/>
    </w:rPr>
  </w:style>
  <w:style w:type="character" w:customStyle="1" w:styleId="BodyTextIndent3Char">
    <w:name w:val="Body Text Indent 3 Char"/>
    <w:basedOn w:val="DefaultParagraphFont"/>
    <w:link w:val="BodyTextIndent3"/>
    <w:rsid w:val="009A7E4E"/>
    <w:rPr>
      <w:rFonts w:ascii="Times New Roman" w:hAnsi="Times New Roman"/>
      <w:lang w:val="en-US" w:eastAsia="ja-JP"/>
    </w:rPr>
  </w:style>
  <w:style w:type="paragraph" w:customStyle="1" w:styleId="numberedlist0">
    <w:name w:val="numbered list"/>
    <w:basedOn w:val="ListBullet"/>
    <w:rsid w:val="00701CD2"/>
    <w:pPr>
      <w:numPr>
        <w:numId w:val="0"/>
      </w:numPr>
      <w:tabs>
        <w:tab w:val="num" w:pos="360"/>
        <w:tab w:val="left" w:pos="1247"/>
        <w:tab w:val="left" w:pos="3856"/>
        <w:tab w:val="left" w:pos="5216"/>
        <w:tab w:val="left" w:pos="6464"/>
        <w:tab w:val="left" w:pos="7768"/>
        <w:tab w:val="left" w:pos="9072"/>
        <w:tab w:val="left" w:pos="10206"/>
      </w:tabs>
      <w:ind w:left="360" w:hanging="360"/>
      <w:jc w:val="left"/>
    </w:pPr>
    <w:rPr>
      <w:rFonts w:ascii="Times New Roman" w:hAnsi="Times New Roman"/>
    </w:rPr>
  </w:style>
  <w:style w:type="paragraph" w:customStyle="1" w:styleId="CRfront">
    <w:name w:val="CR_front"/>
    <w:next w:val="Normal"/>
    <w:rsid w:val="009A7E4E"/>
    <w:rPr>
      <w:rFonts w:ascii="Arial" w:eastAsia="MS Mincho" w:hAnsi="Arial"/>
      <w:lang w:eastAsia="en-US"/>
    </w:rPr>
  </w:style>
  <w:style w:type="paragraph" w:customStyle="1" w:styleId="TabList">
    <w:name w:val="TabList"/>
    <w:basedOn w:val="Normal"/>
    <w:rsid w:val="009A7E4E"/>
    <w:pPr>
      <w:tabs>
        <w:tab w:val="left" w:pos="1134"/>
      </w:tabs>
      <w:spacing w:after="0"/>
    </w:pPr>
    <w:rPr>
      <w:rFonts w:eastAsia="MS Mincho"/>
      <w:lang w:eastAsia="en-GB"/>
    </w:rPr>
  </w:style>
  <w:style w:type="paragraph" w:customStyle="1" w:styleId="tabletext">
    <w:name w:val="table text"/>
    <w:basedOn w:val="Normal"/>
    <w:next w:val="table"/>
    <w:rsid w:val="009A7E4E"/>
    <w:pPr>
      <w:spacing w:after="0"/>
    </w:pPr>
    <w:rPr>
      <w:rFonts w:eastAsia="MS Mincho"/>
      <w:i/>
      <w:lang w:eastAsia="en-GB"/>
    </w:rPr>
  </w:style>
  <w:style w:type="paragraph" w:customStyle="1" w:styleId="table">
    <w:name w:val="table"/>
    <w:basedOn w:val="Normal"/>
    <w:next w:val="Normal"/>
    <w:rsid w:val="009A7E4E"/>
    <w:pPr>
      <w:spacing w:after="0"/>
      <w:jc w:val="center"/>
    </w:pPr>
    <w:rPr>
      <w:rFonts w:eastAsia="MS Mincho"/>
      <w:lang w:val="en-US" w:eastAsia="en-GB"/>
    </w:rPr>
  </w:style>
  <w:style w:type="paragraph" w:customStyle="1" w:styleId="HE">
    <w:name w:val="HE"/>
    <w:basedOn w:val="Normal"/>
    <w:rsid w:val="009A7E4E"/>
    <w:pPr>
      <w:spacing w:after="0"/>
    </w:pPr>
    <w:rPr>
      <w:rFonts w:eastAsia="MS Mincho"/>
      <w:b/>
      <w:lang w:eastAsia="en-GB"/>
    </w:rPr>
  </w:style>
  <w:style w:type="paragraph" w:customStyle="1" w:styleId="text">
    <w:name w:val="text"/>
    <w:basedOn w:val="Normal"/>
    <w:link w:val="textChar"/>
    <w:qFormat/>
    <w:rsid w:val="009A7E4E"/>
    <w:pPr>
      <w:widowControl w:val="0"/>
      <w:spacing w:after="240"/>
      <w:jc w:val="both"/>
    </w:pPr>
    <w:rPr>
      <w:sz w:val="24"/>
      <w:lang w:val="en-AU" w:eastAsia="en-GB"/>
    </w:rPr>
  </w:style>
  <w:style w:type="paragraph" w:customStyle="1" w:styleId="berschrift1H1">
    <w:name w:val="Überschrift 1.H1"/>
    <w:basedOn w:val="Normal"/>
    <w:next w:val="Normal"/>
    <w:rsid w:val="00701CD2"/>
    <w:pPr>
      <w:keepNext/>
      <w:keepLines/>
      <w:numPr>
        <w:numId w:val="31"/>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rsid w:val="00701CD2"/>
    <w:pPr>
      <w:widowControl/>
      <w:numPr>
        <w:numId w:val="28"/>
      </w:numPr>
      <w:tabs>
        <w:tab w:val="num" w:pos="567"/>
      </w:tabs>
      <w:spacing w:after="120"/>
    </w:pPr>
    <w:rPr>
      <w:rFonts w:eastAsia="MS Mincho"/>
      <w:lang w:val="en-US"/>
    </w:rPr>
  </w:style>
  <w:style w:type="paragraph" w:customStyle="1" w:styleId="textintend2">
    <w:name w:val="text intend 2"/>
    <w:basedOn w:val="text"/>
    <w:rsid w:val="00701CD2"/>
    <w:pPr>
      <w:widowControl/>
      <w:numPr>
        <w:numId w:val="29"/>
      </w:numPr>
      <w:tabs>
        <w:tab w:val="num" w:pos="1304"/>
      </w:tabs>
      <w:spacing w:after="120"/>
    </w:pPr>
    <w:rPr>
      <w:rFonts w:eastAsia="MS Mincho"/>
      <w:lang w:val="en-US"/>
    </w:rPr>
  </w:style>
  <w:style w:type="paragraph" w:customStyle="1" w:styleId="textintend3">
    <w:name w:val="text intend 3"/>
    <w:basedOn w:val="text"/>
    <w:rsid w:val="00701CD2"/>
    <w:pPr>
      <w:widowControl/>
      <w:numPr>
        <w:numId w:val="30"/>
      </w:numPr>
      <w:spacing w:after="120"/>
    </w:pPr>
    <w:rPr>
      <w:rFonts w:eastAsia="MS Mincho"/>
      <w:lang w:val="en-US"/>
    </w:rPr>
  </w:style>
  <w:style w:type="paragraph" w:customStyle="1" w:styleId="normalpuce">
    <w:name w:val="normal puce"/>
    <w:basedOn w:val="Normal"/>
    <w:rsid w:val="00701CD2"/>
    <w:pPr>
      <w:widowControl w:val="0"/>
      <w:numPr>
        <w:numId w:val="32"/>
      </w:numPr>
      <w:spacing w:before="60" w:after="60"/>
      <w:jc w:val="both"/>
    </w:pPr>
    <w:rPr>
      <w:rFonts w:eastAsia="MS Mincho"/>
      <w:lang w:eastAsia="en-GB"/>
    </w:rPr>
  </w:style>
  <w:style w:type="paragraph" w:customStyle="1" w:styleId="TdocHeading1">
    <w:name w:val="Tdoc_Heading_1"/>
    <w:basedOn w:val="Heading1"/>
    <w:next w:val="Normal"/>
    <w:autoRedefine/>
    <w:rsid w:val="00701CD2"/>
    <w:pPr>
      <w:keepLines w:val="0"/>
      <w:numPr>
        <w:numId w:val="33"/>
      </w:numPr>
      <w:pBdr>
        <w:top w:val="none" w:sz="0" w:space="0" w:color="auto"/>
      </w:pBdr>
      <w:spacing w:after="0"/>
    </w:pPr>
    <w:rPr>
      <w:b/>
      <w:noProof/>
      <w:kern w:val="28"/>
      <w:sz w:val="24"/>
      <w:lang w:val="en-US" w:eastAsia="en-GB"/>
    </w:rPr>
  </w:style>
  <w:style w:type="paragraph" w:styleId="Date">
    <w:name w:val="Date"/>
    <w:basedOn w:val="Normal"/>
    <w:next w:val="Normal"/>
    <w:link w:val="DateChar"/>
    <w:uiPriority w:val="99"/>
    <w:rsid w:val="009A7E4E"/>
    <w:pPr>
      <w:spacing w:after="0"/>
      <w:jc w:val="both"/>
    </w:pPr>
    <w:rPr>
      <w:lang w:eastAsia="en-GB"/>
    </w:rPr>
  </w:style>
  <w:style w:type="character" w:customStyle="1" w:styleId="DateChar">
    <w:name w:val="Date Char"/>
    <w:basedOn w:val="DefaultParagraphFont"/>
    <w:link w:val="Date"/>
    <w:uiPriority w:val="99"/>
    <w:rsid w:val="009A7E4E"/>
    <w:rPr>
      <w:rFonts w:ascii="Times New Roman" w:hAnsi="Times New Roman"/>
    </w:rPr>
  </w:style>
  <w:style w:type="paragraph" w:customStyle="1" w:styleId="Meetingcaption">
    <w:name w:val="Meeting caption"/>
    <w:basedOn w:val="Normal"/>
    <w:rsid w:val="00701CD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9A7E4E"/>
    <w:pPr>
      <w:spacing w:after="240"/>
      <w:jc w:val="both"/>
    </w:pPr>
    <w:rPr>
      <w:rFonts w:ascii="Helvetica" w:hAnsi="Helvetica"/>
      <w:lang w:eastAsia="en-GB"/>
    </w:rPr>
  </w:style>
  <w:style w:type="paragraph" w:customStyle="1" w:styleId="Cell">
    <w:name w:val="Cell"/>
    <w:basedOn w:val="Normal"/>
    <w:rsid w:val="009A7E4E"/>
    <w:pPr>
      <w:spacing w:after="0" w:line="240" w:lineRule="exact"/>
      <w:jc w:val="center"/>
    </w:pPr>
    <w:rPr>
      <w:sz w:val="16"/>
      <w:lang w:val="en-US"/>
    </w:rPr>
  </w:style>
  <w:style w:type="paragraph" w:customStyle="1" w:styleId="h60">
    <w:name w:val="h6"/>
    <w:basedOn w:val="Normal"/>
    <w:rsid w:val="009A7E4E"/>
    <w:pPr>
      <w:spacing w:before="100" w:beforeAutospacing="1" w:after="100" w:afterAutospacing="1"/>
    </w:pPr>
    <w:rPr>
      <w:sz w:val="24"/>
      <w:szCs w:val="24"/>
      <w:lang w:val="en-US"/>
    </w:rPr>
  </w:style>
  <w:style w:type="paragraph" w:customStyle="1" w:styleId="b10">
    <w:name w:val="b1"/>
    <w:basedOn w:val="Normal"/>
    <w:rsid w:val="009A7E4E"/>
    <w:pPr>
      <w:spacing w:before="100" w:beforeAutospacing="1" w:after="100" w:afterAutospacing="1"/>
    </w:pPr>
    <w:rPr>
      <w:sz w:val="24"/>
      <w:szCs w:val="24"/>
      <w:lang w:val="en-US"/>
    </w:rPr>
  </w:style>
  <w:style w:type="paragraph" w:customStyle="1" w:styleId="tah0">
    <w:name w:val="tah"/>
    <w:basedOn w:val="Normal"/>
    <w:rsid w:val="009A7E4E"/>
    <w:pPr>
      <w:keepNext/>
      <w:adjustRightInd/>
      <w:spacing w:after="0"/>
      <w:jc w:val="center"/>
      <w:textAlignment w:val="auto"/>
    </w:pPr>
    <w:rPr>
      <w:rFonts w:ascii="Arial" w:eastAsia="Batang" w:hAnsi="Arial" w:cs="Arial"/>
      <w:b/>
      <w:bCs/>
      <w:sz w:val="18"/>
      <w:szCs w:val="18"/>
      <w:lang w:val="en-US" w:eastAsia="en-GB"/>
    </w:rPr>
  </w:style>
  <w:style w:type="character" w:customStyle="1" w:styleId="GuidanceChar">
    <w:name w:val="Guidance Char"/>
    <w:rsid w:val="009A7E4E"/>
    <w:rPr>
      <w:i/>
      <w:color w:val="0000FF"/>
      <w:lang w:val="en-GB" w:eastAsia="ja-JP" w:bidi="ar-SA"/>
    </w:rPr>
  </w:style>
  <w:style w:type="paragraph" w:customStyle="1" w:styleId="CharCharCharChar">
    <w:name w:val="Char Char Char Char"/>
    <w:rsid w:val="009A7E4E"/>
    <w:pPr>
      <w:keepNext/>
      <w:tabs>
        <w:tab w:val="left" w:pos="-1134"/>
      </w:tabs>
      <w:autoSpaceDE w:val="0"/>
      <w:autoSpaceDN w:val="0"/>
      <w:adjustRightInd w:val="0"/>
      <w:spacing w:before="60" w:after="60"/>
      <w:jc w:val="both"/>
    </w:pPr>
    <w:rPr>
      <w:rFonts w:ascii="Times New Roman" w:hAnsi="Times New Roman"/>
    </w:rPr>
  </w:style>
  <w:style w:type="paragraph" w:customStyle="1" w:styleId="CharCharCharCharCharCharCharCharCharCharCharChar">
    <w:name w:val="Char Char Char Char Char Char Char Char Char Char Char Char"/>
    <w:semiHidden/>
    <w:rsid w:val="009A7E4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9A7E4E"/>
    <w:rPr>
      <w:rFonts w:ascii="Arial" w:hAnsi="Arial"/>
      <w:sz w:val="24"/>
      <w:lang w:val="en-GB" w:eastAsia="ja-JP" w:bidi="ar-SA"/>
    </w:rPr>
  </w:style>
  <w:style w:type="paragraph" w:customStyle="1" w:styleId="NormalAfter3pt">
    <w:name w:val="Normal + After:  3 pt"/>
    <w:basedOn w:val="Normal"/>
    <w:rsid w:val="009A7E4E"/>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9A7E4E"/>
    <w:rPr>
      <w:rFonts w:ascii="Arial" w:eastAsia="????" w:hAnsi="Arial" w:cs="Arial"/>
      <w:color w:val="0000FF"/>
      <w:kern w:val="2"/>
      <w:lang w:val="en-US" w:eastAsia="en-US" w:bidi="ar-SA"/>
    </w:rPr>
  </w:style>
  <w:style w:type="character" w:customStyle="1" w:styleId="CharChar5">
    <w:name w:val="Char Char5"/>
    <w:semiHidden/>
    <w:rsid w:val="009A7E4E"/>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9A7E4E"/>
    <w:rPr>
      <w:rFonts w:ascii="Arial" w:hAnsi="Arial"/>
      <w:sz w:val="32"/>
      <w:lang w:val="en-GB" w:eastAsia="en-US"/>
    </w:rPr>
  </w:style>
  <w:style w:type="character" w:customStyle="1" w:styleId="ListChar">
    <w:name w:val="List Char"/>
    <w:link w:val="List"/>
    <w:rsid w:val="009A7E4E"/>
    <w:rPr>
      <w:rFonts w:ascii="Arial" w:hAnsi="Arial"/>
      <w:lang w:eastAsia="zh-CN"/>
    </w:rPr>
  </w:style>
  <w:style w:type="character" w:customStyle="1" w:styleId="List2Char">
    <w:name w:val="List 2 Char"/>
    <w:link w:val="List2"/>
    <w:rsid w:val="009A7E4E"/>
    <w:rPr>
      <w:rFonts w:ascii="Arial" w:hAnsi="Arial"/>
      <w:lang w:eastAsia="ja-JP"/>
    </w:rPr>
  </w:style>
  <w:style w:type="character" w:customStyle="1" w:styleId="List3Char">
    <w:name w:val="List 3 Char"/>
    <w:link w:val="List3"/>
    <w:rsid w:val="009A7E4E"/>
    <w:rPr>
      <w:rFonts w:ascii="Arial" w:hAnsi="Arial"/>
      <w:lang w:eastAsia="ja-JP"/>
    </w:rPr>
  </w:style>
  <w:style w:type="character" w:customStyle="1" w:styleId="B3Char">
    <w:name w:val="B3 Char"/>
    <w:rsid w:val="009A7E4E"/>
    <w:rPr>
      <w:lang w:val="en-GB" w:eastAsia="en-US"/>
    </w:rPr>
  </w:style>
  <w:style w:type="paragraph" w:customStyle="1" w:styleId="tdoc-header">
    <w:name w:val="tdoc-header"/>
    <w:rsid w:val="009A7E4E"/>
    <w:rPr>
      <w:rFonts w:ascii="Arial" w:hAnsi="Arial"/>
      <w:noProof/>
      <w:sz w:val="24"/>
      <w:lang w:eastAsia="en-US"/>
    </w:rPr>
  </w:style>
  <w:style w:type="paragraph" w:customStyle="1" w:styleId="CharChar3CharCharCharCharCharChar">
    <w:name w:val="Char Char3 Char Char Char Char Char Char"/>
    <w:semiHidden/>
    <w:rsid w:val="009A7E4E"/>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9A7E4E"/>
    <w:pPr>
      <w:keepNext/>
      <w:tabs>
        <w:tab w:val="left" w:pos="-1134"/>
      </w:tabs>
      <w:autoSpaceDE w:val="0"/>
      <w:autoSpaceDN w:val="0"/>
      <w:adjustRightInd w:val="0"/>
      <w:spacing w:before="60" w:after="60"/>
      <w:jc w:val="both"/>
    </w:pPr>
    <w:rPr>
      <w:rFonts w:ascii="Times New Roman" w:hAnsi="Times New Roman"/>
    </w:rPr>
  </w:style>
  <w:style w:type="paragraph" w:customStyle="1" w:styleId="CharCharCharChar1">
    <w:name w:val="Char Char Char Char1"/>
    <w:rsid w:val="009A7E4E"/>
    <w:pPr>
      <w:keepNext/>
      <w:tabs>
        <w:tab w:val="left" w:pos="-1134"/>
      </w:tabs>
      <w:autoSpaceDE w:val="0"/>
      <w:autoSpaceDN w:val="0"/>
      <w:adjustRightInd w:val="0"/>
      <w:spacing w:before="60" w:after="60"/>
      <w:jc w:val="both"/>
    </w:pPr>
    <w:rPr>
      <w:rFonts w:ascii="Times New Roman" w:hAnsi="Times New Roman"/>
    </w:rPr>
  </w:style>
  <w:style w:type="paragraph" w:customStyle="1" w:styleId="CharCharCharCharCharCharCharCharCharCharCharChar1">
    <w:name w:val="Char Char Char Char Char Char Char Char Char Char Char Char1"/>
    <w:semiHidden/>
    <w:rsid w:val="009A7E4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9A7E4E"/>
    <w:rPr>
      <w:rFonts w:ascii="Times New Roman" w:hAnsi="Times New Roman"/>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9A7E4E"/>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9A7E4E"/>
    <w:rPr>
      <w:rFonts w:ascii="Arial" w:hAnsi="Arial"/>
      <w:sz w:val="18"/>
      <w:lang w:val="x-none" w:eastAsia="x-none"/>
    </w:rPr>
  </w:style>
  <w:style w:type="paragraph" w:customStyle="1" w:styleId="TableCell">
    <w:name w:val="Table Cell"/>
    <w:basedOn w:val="TAC"/>
    <w:link w:val="TableCellChar"/>
    <w:qFormat/>
    <w:rsid w:val="00701CD2"/>
    <w:pPr>
      <w:textAlignment w:val="auto"/>
    </w:pPr>
    <w:rPr>
      <w:lang w:val="en-GB" w:eastAsia="zh-CN"/>
    </w:rPr>
  </w:style>
  <w:style w:type="character" w:customStyle="1" w:styleId="TableCellChar">
    <w:name w:val="Table Cell Char"/>
    <w:link w:val="TableCell"/>
    <w:rsid w:val="009A7E4E"/>
    <w:rPr>
      <w:rFonts w:ascii="Arial" w:hAnsi="Arial"/>
      <w:sz w:val="18"/>
      <w:lang w:eastAsia="zh-CN"/>
    </w:rPr>
  </w:style>
  <w:style w:type="character" w:customStyle="1" w:styleId="B11">
    <w:name w:val="B1 (文字)"/>
    <w:qFormat/>
    <w:locked/>
    <w:rsid w:val="009A7E4E"/>
    <w:rPr>
      <w:rFonts w:ascii="Times New Roman" w:hAnsi="Times New Roman"/>
      <w:lang w:val="en-GB" w:eastAsia="en-US"/>
    </w:rPr>
  </w:style>
  <w:style w:type="paragraph" w:customStyle="1" w:styleId="MTDisplayEquation">
    <w:name w:val="MTDisplayEquation"/>
    <w:basedOn w:val="Normal"/>
    <w:next w:val="Normal"/>
    <w:link w:val="MTDisplayEquationChar"/>
    <w:rsid w:val="009A7E4E"/>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9A7E4E"/>
    <w:rPr>
      <w:rFonts w:ascii="Times New Roman" w:eastAsia="Calibri" w:hAnsi="Times New Roman"/>
      <w:szCs w:val="22"/>
      <w:lang w:val="x-none" w:eastAsia="x-none"/>
    </w:rPr>
  </w:style>
  <w:style w:type="paragraph" w:customStyle="1" w:styleId="Default">
    <w:name w:val="Default"/>
    <w:rsid w:val="009A7E4E"/>
    <w:pPr>
      <w:autoSpaceDE w:val="0"/>
      <w:autoSpaceDN w:val="0"/>
      <w:adjustRightInd w:val="0"/>
    </w:pPr>
    <w:rPr>
      <w:rFonts w:ascii="Arial" w:hAnsi="Arial" w:cs="Arial"/>
      <w:color w:val="000000"/>
      <w:sz w:val="24"/>
      <w:szCs w:val="24"/>
      <w:lang w:val="en-US" w:eastAsia="ja-JP"/>
    </w:rPr>
  </w:style>
  <w:style w:type="character" w:customStyle="1" w:styleId="textChar">
    <w:name w:val="text Char"/>
    <w:link w:val="text"/>
    <w:rsid w:val="009A7E4E"/>
    <w:rPr>
      <w:rFonts w:ascii="Times New Roman" w:hAnsi="Times New Roman"/>
      <w:sz w:val="24"/>
      <w:lang w:val="en-AU"/>
    </w:rPr>
  </w:style>
  <w:style w:type="paragraph" w:customStyle="1" w:styleId="bullet1">
    <w:name w:val="bullet1"/>
    <w:basedOn w:val="text"/>
    <w:link w:val="bullet1Char"/>
    <w:qFormat/>
    <w:rsid w:val="00701CD2"/>
    <w:pPr>
      <w:widowControl/>
      <w:numPr>
        <w:numId w:val="34"/>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9A7E4E"/>
    <w:pPr>
      <w:widowControl/>
      <w:numPr>
        <w:ilvl w:val="1"/>
        <w:numId w:val="34"/>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9A7E4E"/>
    <w:rPr>
      <w:rFonts w:ascii="Calibri" w:hAnsi="Calibri"/>
      <w:kern w:val="2"/>
      <w:sz w:val="24"/>
      <w:szCs w:val="24"/>
      <w:lang w:eastAsia="zh-CN"/>
    </w:rPr>
  </w:style>
  <w:style w:type="paragraph" w:customStyle="1" w:styleId="bullet3">
    <w:name w:val="bullet3"/>
    <w:basedOn w:val="text"/>
    <w:link w:val="bullet3Char"/>
    <w:qFormat/>
    <w:rsid w:val="009A7E4E"/>
    <w:pPr>
      <w:widowControl/>
      <w:numPr>
        <w:ilvl w:val="2"/>
        <w:numId w:val="34"/>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9A7E4E"/>
    <w:rPr>
      <w:rFonts w:ascii="Times" w:hAnsi="Times"/>
      <w:kern w:val="2"/>
      <w:sz w:val="24"/>
      <w:szCs w:val="24"/>
      <w:lang w:eastAsia="zh-CN"/>
    </w:rPr>
  </w:style>
  <w:style w:type="paragraph" w:customStyle="1" w:styleId="bullet4">
    <w:name w:val="bullet4"/>
    <w:basedOn w:val="text"/>
    <w:qFormat/>
    <w:rsid w:val="009A7E4E"/>
    <w:pPr>
      <w:widowControl/>
      <w:numPr>
        <w:ilvl w:val="3"/>
        <w:numId w:val="34"/>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01CD2"/>
    <w:pPr>
      <w:numPr>
        <w:numId w:val="35"/>
      </w:numPr>
      <w:overflowPunct/>
      <w:autoSpaceDE/>
      <w:autoSpaceDN/>
      <w:adjustRightInd/>
      <w:spacing w:after="0"/>
      <w:textAlignment w:val="auto"/>
    </w:pPr>
    <w:rPr>
      <w:rFonts w:eastAsia="MS Mincho"/>
      <w:sz w:val="24"/>
      <w:szCs w:val="24"/>
      <w:lang w:val="en-US"/>
    </w:rPr>
  </w:style>
  <w:style w:type="paragraph" w:customStyle="1" w:styleId="Comments">
    <w:name w:val="Comments"/>
    <w:basedOn w:val="Normal"/>
    <w:link w:val="CommentsChar"/>
    <w:qFormat/>
    <w:rsid w:val="009A7E4E"/>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9A7E4E"/>
    <w:rPr>
      <w:rFonts w:ascii="Arial" w:eastAsia="MS Mincho" w:hAnsi="Arial"/>
      <w:i/>
      <w:sz w:val="18"/>
      <w:szCs w:val="24"/>
    </w:rPr>
  </w:style>
  <w:style w:type="paragraph" w:customStyle="1" w:styleId="bullet">
    <w:name w:val="bullet"/>
    <w:basedOn w:val="ListParagraph"/>
    <w:link w:val="bulletChar"/>
    <w:qFormat/>
    <w:rsid w:val="00701CD2"/>
    <w:pPr>
      <w:numPr>
        <w:numId w:val="36"/>
      </w:numPr>
      <w:overflowPunct/>
      <w:autoSpaceDE/>
      <w:autoSpaceDN/>
      <w:adjustRightInd/>
      <w:contextualSpacing/>
      <w:textAlignment w:val="auto"/>
    </w:pPr>
    <w:rPr>
      <w:rFonts w:ascii="Times New Roman" w:eastAsia="Times New Roman" w:hAnsi="Times New Roman"/>
      <w:sz w:val="20"/>
      <w:szCs w:val="24"/>
      <w:lang w:eastAsia="x-none"/>
    </w:rPr>
  </w:style>
  <w:style w:type="character" w:customStyle="1" w:styleId="bulletChar">
    <w:name w:val="bullet Char"/>
    <w:link w:val="bullet"/>
    <w:rsid w:val="009A7E4E"/>
    <w:rPr>
      <w:rFonts w:ascii="Times New Roman" w:eastAsia="Times New Roman" w:hAnsi="Times New Roman"/>
      <w:szCs w:val="24"/>
      <w:lang w:val="x-none" w:eastAsia="x-none"/>
    </w:rPr>
  </w:style>
  <w:style w:type="character" w:customStyle="1" w:styleId="ProposalChar">
    <w:name w:val="Proposal Char"/>
    <w:link w:val="Proposal"/>
    <w:rsid w:val="009A7E4E"/>
    <w:rPr>
      <w:rFonts w:ascii="Arial" w:hAnsi="Arial"/>
      <w:b/>
      <w:bCs/>
      <w:lang w:eastAsia="zh-CN"/>
    </w:rPr>
  </w:style>
  <w:style w:type="character" w:customStyle="1" w:styleId="colour">
    <w:name w:val="colour"/>
    <w:basedOn w:val="DefaultParagraphFont"/>
    <w:rsid w:val="009A7E4E"/>
  </w:style>
  <w:style w:type="character" w:customStyle="1" w:styleId="TFZchn">
    <w:name w:val="TF Zchn"/>
    <w:locked/>
    <w:rsid w:val="009A7E4E"/>
    <w:rPr>
      <w:rFonts w:ascii="Arial" w:hAnsi="Arial"/>
      <w:b/>
      <w:lang w:eastAsia="en-US"/>
    </w:rPr>
  </w:style>
  <w:style w:type="paragraph" w:customStyle="1" w:styleId="RAN1bullet2">
    <w:name w:val="RAN1 bullet2"/>
    <w:basedOn w:val="Normal"/>
    <w:link w:val="RAN1bullet2Char"/>
    <w:qFormat/>
    <w:rsid w:val="009A7E4E"/>
    <w:pPr>
      <w:numPr>
        <w:ilvl w:val="1"/>
        <w:numId w:val="37"/>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9A7E4E"/>
    <w:rPr>
      <w:rFonts w:ascii="Times" w:eastAsia="Batang" w:hAnsi="Times"/>
      <w:lang w:val="en-US" w:eastAsia="en-US"/>
    </w:rPr>
  </w:style>
  <w:style w:type="paragraph" w:customStyle="1" w:styleId="RAN1bullet1">
    <w:name w:val="RAN1 bullet1"/>
    <w:basedOn w:val="Normal"/>
    <w:link w:val="RAN1bullet1Char"/>
    <w:qFormat/>
    <w:rsid w:val="00701CD2"/>
    <w:pPr>
      <w:numPr>
        <w:numId w:val="38"/>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9A7E4E"/>
    <w:rPr>
      <w:rFonts w:ascii="Times" w:eastAsia="Batang" w:hAnsi="Times"/>
      <w:szCs w:val="24"/>
      <w:lang w:eastAsia="x-none"/>
    </w:rPr>
  </w:style>
  <w:style w:type="paragraph" w:customStyle="1" w:styleId="RAN1tdoc">
    <w:name w:val="RAN1 tdoc"/>
    <w:basedOn w:val="Normal"/>
    <w:link w:val="RAN1tdocChar"/>
    <w:qFormat/>
    <w:rsid w:val="009A7E4E"/>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9A7E4E"/>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9A7E4E"/>
    <w:pPr>
      <w:numPr>
        <w:ilvl w:val="2"/>
        <w:numId w:val="39"/>
      </w:numPr>
    </w:pPr>
  </w:style>
  <w:style w:type="character" w:customStyle="1" w:styleId="RAN1bullet3Char">
    <w:name w:val="RAN1 bullet3 Char"/>
    <w:link w:val="RAN1bullet3"/>
    <w:qFormat/>
    <w:rsid w:val="009A7E4E"/>
    <w:rPr>
      <w:rFonts w:ascii="Times" w:eastAsia="Batang" w:hAnsi="Times"/>
      <w:lang w:val="en-US" w:eastAsia="en-US"/>
    </w:rPr>
  </w:style>
  <w:style w:type="paragraph" w:customStyle="1" w:styleId="ZchnZchn">
    <w:name w:val="Zchn Zchn"/>
    <w:rsid w:val="009A7E4E"/>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9A7E4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onecomwebmail-msonormal">
    <w:name w:val="onecomwebmail-msonormal"/>
    <w:basedOn w:val="Normal"/>
    <w:rsid w:val="009A7E4E"/>
    <w:pPr>
      <w:overflowPunct/>
      <w:autoSpaceDE/>
      <w:autoSpaceDN/>
      <w:adjustRightInd/>
      <w:spacing w:before="100" w:beforeAutospacing="1" w:after="100" w:afterAutospacing="1"/>
      <w:textAlignment w:val="auto"/>
    </w:pPr>
    <w:rPr>
      <w:sz w:val="24"/>
      <w:szCs w:val="24"/>
      <w:lang w:val="en-US" w:eastAsia="en-US"/>
    </w:rPr>
  </w:style>
  <w:style w:type="character" w:customStyle="1" w:styleId="bullet3Char">
    <w:name w:val="bullet3 Char"/>
    <w:link w:val="bullet3"/>
    <w:rsid w:val="009A7E4E"/>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9A7E4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rsid w:val="009A7E4E"/>
    <w:rPr>
      <w:rFonts w:ascii="Times New Roman" w:eastAsia="Malgun Gothic" w:hAnsi="Times New Roman" w:cs="Batang"/>
      <w:lang w:eastAsia="en-US"/>
    </w:rPr>
  </w:style>
  <w:style w:type="paragraph" w:customStyle="1" w:styleId="tdoc">
    <w:name w:val="tdoc"/>
    <w:basedOn w:val="Normal"/>
    <w:link w:val="tdocChar"/>
    <w:qFormat/>
    <w:rsid w:val="009A7E4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rsid w:val="009A7E4E"/>
    <w:rPr>
      <w:rFonts w:ascii="Times" w:eastAsia="Batang" w:hAnsi="Times"/>
      <w:szCs w:val="24"/>
      <w:lang w:eastAsia="en-US"/>
    </w:rPr>
  </w:style>
  <w:style w:type="paragraph" w:customStyle="1" w:styleId="maintext">
    <w:name w:val="main text"/>
    <w:basedOn w:val="Normal"/>
    <w:link w:val="maintextChar"/>
    <w:qFormat/>
    <w:rsid w:val="009A7E4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A7E4E"/>
    <w:rPr>
      <w:rFonts w:ascii="Times New Roman" w:eastAsia="Malgun Gothic" w:hAnsi="Times New Roman"/>
      <w:lang w:eastAsia="ko-KR"/>
    </w:rPr>
  </w:style>
  <w:style w:type="character" w:styleId="PlaceholderText">
    <w:name w:val="Placeholder Text"/>
    <w:basedOn w:val="DefaultParagraphFont"/>
    <w:uiPriority w:val="99"/>
    <w:rsid w:val="009A7E4E"/>
    <w:rPr>
      <w:color w:val="808080"/>
    </w:rPr>
  </w:style>
  <w:style w:type="paragraph" w:customStyle="1" w:styleId="CharChar1CharCharCharChar">
    <w:name w:val="Char Char1 Char Char Char Char"/>
    <w:semiHidden/>
    <w:rsid w:val="009A7E4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9A7E4E"/>
    <w:pPr>
      <w:widowControl w:val="0"/>
      <w:overflowPunct/>
      <w:autoSpaceDE/>
      <w:autoSpaceDN/>
      <w:adjustRightInd/>
      <w:spacing w:after="0"/>
      <w:ind w:firstLine="420"/>
      <w:jc w:val="both"/>
      <w:textAlignment w:val="auto"/>
    </w:pPr>
    <w:rPr>
      <w:rFonts w:eastAsiaTheme="minorEastAsia"/>
      <w:kern w:val="2"/>
      <w:sz w:val="21"/>
      <w:lang w:val="en-US" w:eastAsia="zh-CN"/>
    </w:rPr>
  </w:style>
  <w:style w:type="paragraph" w:customStyle="1" w:styleId="a0">
    <w:name w:val="表格文字居左"/>
    <w:basedOn w:val="Normal"/>
    <w:next w:val="Normal"/>
    <w:rsid w:val="009A7E4E"/>
    <w:pPr>
      <w:widowControl w:val="0"/>
      <w:overflowPunct/>
      <w:autoSpaceDE/>
      <w:autoSpaceDN/>
      <w:adjustRightInd/>
      <w:spacing w:after="0"/>
      <w:jc w:val="both"/>
      <w:textAlignment w:val="auto"/>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9A7E4E"/>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9A7E4E"/>
    <w:rPr>
      <w:rFonts w:ascii="Arial" w:eastAsiaTheme="minorEastAsia" w:hAnsi="Arial"/>
      <w:vanish/>
      <w:sz w:val="16"/>
      <w:szCs w:val="16"/>
      <w:lang w:val="en-US" w:eastAsia="zh-CN"/>
    </w:rPr>
  </w:style>
  <w:style w:type="character" w:customStyle="1" w:styleId="hps">
    <w:name w:val="hps"/>
    <w:basedOn w:val="DefaultParagraphFont"/>
    <w:rsid w:val="009A7E4E"/>
  </w:style>
  <w:style w:type="paragraph" w:styleId="z-BottomofForm">
    <w:name w:val="HTML Bottom of Form"/>
    <w:basedOn w:val="Normal"/>
    <w:next w:val="Normal"/>
    <w:link w:val="z-BottomofFormChar"/>
    <w:hidden/>
    <w:uiPriority w:val="99"/>
    <w:unhideWhenUsed/>
    <w:rsid w:val="009A7E4E"/>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9A7E4E"/>
    <w:rPr>
      <w:rFonts w:ascii="Arial" w:eastAsiaTheme="minorEastAsia" w:hAnsi="Arial"/>
      <w:vanish/>
      <w:sz w:val="16"/>
      <w:szCs w:val="16"/>
      <w:lang w:val="en-US" w:eastAsia="zh-CN"/>
    </w:rPr>
  </w:style>
  <w:style w:type="paragraph" w:customStyle="1" w:styleId="tablecell0">
    <w:name w:val="tablecell"/>
    <w:basedOn w:val="Normal"/>
    <w:qFormat/>
    <w:rsid w:val="009A7E4E"/>
    <w:pPr>
      <w:overflowPunct/>
      <w:snapToGrid w:val="0"/>
      <w:spacing w:before="40" w:after="40"/>
      <w:textAlignment w:val="auto"/>
    </w:pPr>
    <w:rPr>
      <w:rFonts w:eastAsiaTheme="minorEastAsia"/>
      <w:lang w:val="en-US" w:eastAsia="en-US"/>
    </w:rPr>
  </w:style>
  <w:style w:type="character" w:customStyle="1" w:styleId="shorttext">
    <w:name w:val="short_text"/>
    <w:basedOn w:val="DefaultParagraphFont"/>
    <w:rsid w:val="009A7E4E"/>
  </w:style>
  <w:style w:type="paragraph" w:customStyle="1" w:styleId="tableheader">
    <w:name w:val="tableheader"/>
    <w:basedOn w:val="Normal"/>
    <w:qFormat/>
    <w:rsid w:val="009A7E4E"/>
    <w:pPr>
      <w:overflowPunct/>
      <w:autoSpaceDE/>
      <w:autoSpaceDN/>
      <w:adjustRightInd/>
      <w:snapToGrid w:val="0"/>
      <w:spacing w:before="40" w:after="40"/>
      <w:jc w:val="center"/>
      <w:textAlignment w:val="auto"/>
    </w:pPr>
    <w:rPr>
      <w:rFonts w:eastAsiaTheme="minorEastAsia" w:cs="Calibri"/>
      <w:b/>
      <w:bCs/>
      <w:color w:val="000000"/>
      <w:lang w:val="en-US" w:eastAsia="en-US"/>
    </w:rPr>
  </w:style>
  <w:style w:type="character" w:customStyle="1" w:styleId="apple-converted-space">
    <w:name w:val="apple-converted-space"/>
    <w:basedOn w:val="DefaultParagraphFont"/>
    <w:rsid w:val="009A7E4E"/>
  </w:style>
  <w:style w:type="character" w:customStyle="1" w:styleId="keyword">
    <w:name w:val="keyword"/>
    <w:basedOn w:val="DefaultParagraphFont"/>
    <w:rsid w:val="009A7E4E"/>
  </w:style>
  <w:style w:type="paragraph" w:customStyle="1" w:styleId="Test">
    <w:name w:val="Test"/>
    <w:basedOn w:val="Normal"/>
    <w:rsid w:val="009A7E4E"/>
    <w:pPr>
      <w:overflowPunct/>
      <w:autoSpaceDE/>
      <w:autoSpaceDN/>
      <w:adjustRightInd/>
      <w:spacing w:before="60" w:after="60" w:line="280" w:lineRule="atLeast"/>
      <w:ind w:left="2160"/>
      <w:jc w:val="both"/>
      <w:textAlignment w:val="auto"/>
    </w:pPr>
    <w:rPr>
      <w:rFonts w:eastAsia="MS Mincho"/>
      <w:lang w:eastAsia="en-US"/>
    </w:rPr>
  </w:style>
  <w:style w:type="paragraph" w:styleId="BodyTextIndent">
    <w:name w:val="Body Text Indent"/>
    <w:basedOn w:val="Normal"/>
    <w:link w:val="BodyTextIndentChar"/>
    <w:uiPriority w:val="99"/>
    <w:unhideWhenUsed/>
    <w:rsid w:val="009A7E4E"/>
    <w:pPr>
      <w:overflowPunct/>
      <w:autoSpaceDE/>
      <w:autoSpaceDN/>
      <w:adjustRightInd/>
      <w:spacing w:after="120" w:line="276" w:lineRule="auto"/>
      <w:ind w:left="360"/>
      <w:textAlignment w:val="auto"/>
    </w:pPr>
    <w:rPr>
      <w:rFonts w:eastAsiaTheme="minorEastAsia"/>
      <w:lang w:val="en-US" w:eastAsia="zh-CN"/>
    </w:rPr>
  </w:style>
  <w:style w:type="character" w:customStyle="1" w:styleId="BodyTextIndentChar">
    <w:name w:val="Body Text Indent Char"/>
    <w:basedOn w:val="DefaultParagraphFont"/>
    <w:link w:val="BodyTextIndent"/>
    <w:uiPriority w:val="99"/>
    <w:rsid w:val="009A7E4E"/>
    <w:rPr>
      <w:rFonts w:ascii="Times New Roman" w:eastAsiaTheme="minorEastAsia" w:hAnsi="Times New Roman"/>
      <w:lang w:val="en-US" w:eastAsia="zh-CN"/>
    </w:rPr>
  </w:style>
  <w:style w:type="paragraph" w:customStyle="1" w:styleId="ordinary-output">
    <w:name w:val="ordinary-output"/>
    <w:basedOn w:val="Normal"/>
    <w:rsid w:val="009A7E4E"/>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9A7E4E"/>
  </w:style>
  <w:style w:type="paragraph" w:customStyle="1" w:styleId="3GPPNormalText">
    <w:name w:val="3GPP Normal Text"/>
    <w:basedOn w:val="BodyText"/>
    <w:link w:val="3GPPNormalTextChar"/>
    <w:qFormat/>
    <w:rsid w:val="009A7E4E"/>
    <w:pPr>
      <w:tabs>
        <w:tab w:val="left" w:pos="1440"/>
      </w:tabs>
      <w:overflowPunct/>
      <w:autoSpaceDE/>
      <w:autoSpaceDN/>
      <w:adjustRightInd/>
      <w:ind w:left="1440" w:hanging="1440"/>
      <w:textAlignment w:val="auto"/>
    </w:pPr>
    <w:rPr>
      <w:rFonts w:ascii="Times New Roman" w:eastAsia="MS Mincho" w:hAnsi="Times New Roman"/>
      <w:sz w:val="22"/>
      <w:szCs w:val="24"/>
      <w:lang w:val="en-US"/>
    </w:rPr>
  </w:style>
  <w:style w:type="character" w:customStyle="1" w:styleId="3GPPNormalTextChar">
    <w:name w:val="3GPP Normal Text Char"/>
    <w:link w:val="3GPPNormalText"/>
    <w:rsid w:val="009A7E4E"/>
    <w:rPr>
      <w:rFonts w:ascii="Times New Roman" w:eastAsia="MS Mincho" w:hAnsi="Times New Roman"/>
      <w:sz w:val="22"/>
      <w:szCs w:val="24"/>
      <w:lang w:val="en-US" w:eastAsia="zh-CN"/>
    </w:rPr>
  </w:style>
  <w:style w:type="table" w:customStyle="1" w:styleId="1">
    <w:name w:val="网格型1"/>
    <w:basedOn w:val="TableNormal"/>
    <w:next w:val="TableGrid"/>
    <w:rsid w:val="009A7E4E"/>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9A7E4E"/>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val="en-US" w:eastAsia="zh-CN"/>
    </w:rPr>
  </w:style>
  <w:style w:type="character" w:customStyle="1" w:styleId="SubtitleChar">
    <w:name w:val="Subtitle Char"/>
    <w:basedOn w:val="DefaultParagraphFont"/>
    <w:link w:val="Subtitle"/>
    <w:uiPriority w:val="11"/>
    <w:rsid w:val="009A7E4E"/>
    <w:rPr>
      <w:rFonts w:asciiTheme="majorHAnsi" w:eastAsiaTheme="majorEastAsia" w:hAnsiTheme="majorHAnsi" w:cstheme="majorBidi"/>
      <w:b/>
      <w:i/>
      <w:iCs/>
      <w:color w:val="4472C4" w:themeColor="accent1"/>
      <w:spacing w:val="15"/>
      <w:szCs w:val="24"/>
      <w:lang w:val="en-US" w:eastAsia="zh-CN"/>
    </w:rPr>
  </w:style>
  <w:style w:type="table" w:customStyle="1" w:styleId="TableGridLight1">
    <w:name w:val="Table Grid Light1"/>
    <w:basedOn w:val="TableNormal"/>
    <w:uiPriority w:val="40"/>
    <w:rsid w:val="009A7E4E"/>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9A7E4E"/>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9A7E4E"/>
  </w:style>
  <w:style w:type="paragraph" w:styleId="Title">
    <w:name w:val="Title"/>
    <w:aliases w:val="Heading 31"/>
    <w:basedOn w:val="Normal"/>
    <w:link w:val="TitleChar1"/>
    <w:qFormat/>
    <w:rsid w:val="009A7E4E"/>
    <w:pPr>
      <w:spacing w:after="120"/>
      <w:jc w:val="center"/>
    </w:pPr>
    <w:rPr>
      <w:rFonts w:ascii="Arial" w:eastAsia="MS Mincho" w:hAnsi="Arial"/>
      <w:b/>
      <w:sz w:val="24"/>
      <w:lang w:val="de-DE"/>
    </w:rPr>
  </w:style>
  <w:style w:type="character" w:customStyle="1" w:styleId="TitleChar">
    <w:name w:val="Title Char"/>
    <w:aliases w:val="no break Char Car Char,H3 Char Car Char,h3 Char Car Char"/>
    <w:basedOn w:val="DefaultParagraphFont"/>
    <w:uiPriority w:val="10"/>
    <w:rsid w:val="009A7E4E"/>
    <w:rPr>
      <w:rFonts w:asciiTheme="majorHAnsi" w:eastAsiaTheme="majorEastAsia" w:hAnsiTheme="majorHAnsi" w:cstheme="majorBidi"/>
      <w:spacing w:val="-10"/>
      <w:kern w:val="28"/>
      <w:sz w:val="56"/>
      <w:szCs w:val="56"/>
      <w:lang w:eastAsia="ja-JP"/>
    </w:rPr>
  </w:style>
  <w:style w:type="character" w:customStyle="1" w:styleId="TitleChar1">
    <w:name w:val="Title Char1"/>
    <w:aliases w:val="Heading 31 Char"/>
    <w:link w:val="Title"/>
    <w:rsid w:val="009A7E4E"/>
    <w:rPr>
      <w:rFonts w:ascii="Arial" w:eastAsia="MS Mincho" w:hAnsi="Arial"/>
      <w:b/>
      <w:sz w:val="24"/>
      <w:lang w:val="de-DE" w:eastAsia="ja-JP"/>
    </w:rPr>
  </w:style>
  <w:style w:type="paragraph" w:customStyle="1" w:styleId="TableText0">
    <w:name w:val="TableText"/>
    <w:basedOn w:val="BodyTextIndent"/>
    <w:rsid w:val="009A7E4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9A7E4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9A7E4E"/>
    <w:pPr>
      <w:spacing w:after="220"/>
    </w:pPr>
    <w:rPr>
      <w:rFonts w:eastAsia="MS Mincho"/>
      <w:b/>
      <w:lang w:val="en-US"/>
    </w:rPr>
  </w:style>
  <w:style w:type="paragraph" w:customStyle="1" w:styleId="91">
    <w:name w:val="目录 91"/>
    <w:basedOn w:val="TOC8"/>
    <w:rsid w:val="009A7E4E"/>
    <w:pPr>
      <w:overflowPunct/>
      <w:autoSpaceDE/>
      <w:autoSpaceDN/>
      <w:adjustRightInd/>
      <w:textAlignment w:val="auto"/>
    </w:pPr>
    <w:rPr>
      <w:lang w:eastAsia="en-US"/>
    </w:rPr>
  </w:style>
  <w:style w:type="paragraph" w:customStyle="1" w:styleId="berschrift2Head2A2">
    <w:name w:val="Überschrift 2.Head2A.2"/>
    <w:basedOn w:val="Heading1"/>
    <w:next w:val="Normal"/>
    <w:rsid w:val="009A7E4E"/>
    <w:p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9A7E4E"/>
    <w:pPr>
      <w:numPr>
        <w:ilvl w:val="1"/>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9A7E4E"/>
    <w:pPr>
      <w:widowControl w:val="0"/>
      <w:overflowPunct/>
      <w:autoSpaceDE/>
      <w:autoSpaceDN/>
      <w:adjustRightInd/>
      <w:spacing w:after="0"/>
      <w:textAlignment w:val="auto"/>
    </w:pPr>
    <w:rPr>
      <w:rFonts w:ascii="Times New Roman" w:eastAsiaTheme="minorEastAsia" w:hAnsi="Times New Roman"/>
      <w:color w:val="0000FF"/>
      <w:kern w:val="2"/>
      <w:sz w:val="21"/>
      <w:lang w:val="en-US"/>
    </w:rPr>
  </w:style>
  <w:style w:type="paragraph" w:customStyle="1" w:styleId="BalloonText1">
    <w:name w:val="Balloon Text1"/>
    <w:basedOn w:val="Normal"/>
    <w:semiHidden/>
    <w:rsid w:val="009A7E4E"/>
    <w:rPr>
      <w:rFonts w:ascii="Tahoma" w:eastAsia="MS Mincho" w:hAnsi="Tahoma" w:cs="Tahoma"/>
      <w:sz w:val="16"/>
      <w:szCs w:val="16"/>
    </w:rPr>
  </w:style>
  <w:style w:type="paragraph" w:customStyle="1" w:styleId="Normal-Figure">
    <w:name w:val="Normal-Figure"/>
    <w:basedOn w:val="Normal"/>
    <w:rsid w:val="009A7E4E"/>
    <w:pPr>
      <w:overflowPunct/>
      <w:autoSpaceDE/>
      <w:autoSpaceDN/>
      <w:adjustRightInd/>
      <w:spacing w:before="360" w:after="0" w:line="240" w:lineRule="atLeast"/>
      <w:jc w:val="center"/>
      <w:textAlignment w:val="auto"/>
    </w:pPr>
    <w:rPr>
      <w:rFonts w:eastAsia="MS Mincho"/>
      <w:lang w:val="en-US"/>
    </w:rPr>
  </w:style>
  <w:style w:type="paragraph" w:styleId="BodyTextFirstIndent2">
    <w:name w:val="Body Text First Indent 2"/>
    <w:basedOn w:val="BodyTextIndent"/>
    <w:link w:val="BodyTextFirstIndent2Char"/>
    <w:rsid w:val="009A7E4E"/>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9A7E4E"/>
    <w:rPr>
      <w:rFonts w:ascii="Times New Roman" w:eastAsia="MS Mincho" w:hAnsi="Times New Roman"/>
      <w:lang w:val="en-US" w:eastAsia="en-US"/>
    </w:rPr>
  </w:style>
  <w:style w:type="paragraph" w:customStyle="1" w:styleId="List1">
    <w:name w:val="List 1"/>
    <w:basedOn w:val="Normal"/>
    <w:rsid w:val="009A7E4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rsid w:val="009A7E4E"/>
    <w:pPr>
      <w:overflowPunct/>
      <w:autoSpaceDE/>
      <w:autoSpaceDN/>
      <w:adjustRightInd/>
      <w:jc w:val="center"/>
      <w:textAlignment w:val="auto"/>
    </w:pPr>
    <w:rPr>
      <w:rFonts w:eastAsia="MS Mincho"/>
    </w:rPr>
  </w:style>
  <w:style w:type="paragraph" w:customStyle="1" w:styleId="Nor">
    <w:name w:val="Nor'"/>
    <w:basedOn w:val="assocaitedwith"/>
    <w:rsid w:val="009A7E4E"/>
    <w:rPr>
      <w:b/>
    </w:rPr>
  </w:style>
  <w:style w:type="table" w:styleId="TableClassic2">
    <w:name w:val="Table Classic 2"/>
    <w:basedOn w:val="TableNormal"/>
    <w:rsid w:val="009A7E4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9A7E4E"/>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9A7E4E"/>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9A7E4E"/>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9A7E4E"/>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9A7E4E"/>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9A7E4E"/>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9A7E4E"/>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9A7E4E"/>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9A7E4E"/>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9A7E4E"/>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9A7E4E"/>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9A7E4E"/>
    <w:pPr>
      <w:overflowPunct/>
      <w:autoSpaceDE/>
      <w:autoSpaceDN/>
      <w:adjustRightInd/>
      <w:spacing w:after="220"/>
      <w:textAlignment w:val="auto"/>
    </w:pPr>
    <w:rPr>
      <w:rFonts w:ascii="Arial" w:hAnsi="Arial"/>
      <w:sz w:val="22"/>
      <w:szCs w:val="24"/>
      <w:lang w:val="en-US" w:eastAsia="en-US"/>
    </w:rPr>
  </w:style>
  <w:style w:type="paragraph" w:customStyle="1" w:styleId="a1">
    <w:name w:val="样式 正文"/>
    <w:basedOn w:val="Normal"/>
    <w:link w:val="Char"/>
    <w:rsid w:val="009A7E4E"/>
    <w:pPr>
      <w:widowControl w:val="0"/>
      <w:overflowPunct/>
      <w:autoSpaceDE/>
      <w:autoSpaceDN/>
      <w:adjustRightInd/>
      <w:spacing w:after="0"/>
      <w:ind w:firstLineChars="200" w:firstLine="420"/>
      <w:jc w:val="both"/>
      <w:textAlignment w:val="auto"/>
    </w:pPr>
    <w:rPr>
      <w:rFonts w:cs="SimSun"/>
      <w:kern w:val="2"/>
      <w:sz w:val="21"/>
      <w:lang w:val="en-US" w:eastAsia="zh-CN"/>
    </w:rPr>
  </w:style>
  <w:style w:type="character" w:customStyle="1" w:styleId="Char">
    <w:name w:val="样式 正文 Char"/>
    <w:basedOn w:val="DefaultParagraphFont"/>
    <w:link w:val="a1"/>
    <w:rsid w:val="009A7E4E"/>
    <w:rPr>
      <w:rFonts w:ascii="Times New Roman" w:eastAsia="SimSun" w:hAnsi="Times New Roman" w:cs="SimSun"/>
      <w:kern w:val="2"/>
      <w:sz w:val="21"/>
      <w:lang w:val="en-US" w:eastAsia="zh-CN"/>
    </w:rPr>
  </w:style>
  <w:style w:type="paragraph" w:customStyle="1" w:styleId="a2">
    <w:name w:val="公式"/>
    <w:basedOn w:val="Normal"/>
    <w:rsid w:val="009A7E4E"/>
    <w:pPr>
      <w:widowControl w:val="0"/>
      <w:overflowPunct/>
      <w:autoSpaceDE/>
      <w:autoSpaceDN/>
      <w:adjustRightInd/>
      <w:spacing w:after="0"/>
      <w:ind w:firstLine="420"/>
      <w:jc w:val="right"/>
      <w:textAlignment w:val="auto"/>
    </w:pPr>
    <w:rPr>
      <w:rFonts w:cs="SimSun"/>
      <w:kern w:val="2"/>
      <w:sz w:val="21"/>
      <w:lang w:val="en-US" w:eastAsia="zh-CN"/>
    </w:rPr>
  </w:style>
  <w:style w:type="paragraph" w:customStyle="1" w:styleId="Normal9pointspacing">
    <w:name w:val="Normal 9 point spacing"/>
    <w:basedOn w:val="BodyText"/>
    <w:link w:val="Normal9pointspacingChar"/>
    <w:qFormat/>
    <w:rsid w:val="009A7E4E"/>
    <w:pPr>
      <w:overflowPunct/>
      <w:autoSpaceDE/>
      <w:autoSpaceDN/>
      <w:adjustRightInd/>
      <w:spacing w:before="180" w:after="60"/>
      <w:textAlignment w:val="auto"/>
    </w:pPr>
    <w:rPr>
      <w:rFonts w:ascii="Times New Roman" w:eastAsia="MS Mincho" w:hAnsi="Times New Roman"/>
      <w:szCs w:val="24"/>
      <w:lang w:eastAsia="en-US"/>
    </w:rPr>
  </w:style>
  <w:style w:type="character" w:customStyle="1" w:styleId="Normal9pointspacingChar">
    <w:name w:val="Normal 9 point spacing Char"/>
    <w:link w:val="Normal9pointspacing"/>
    <w:rsid w:val="009A7E4E"/>
    <w:rPr>
      <w:rFonts w:ascii="Times New Roman" w:eastAsia="MS Mincho" w:hAnsi="Times New Roman"/>
      <w:szCs w:val="24"/>
      <w:lang w:eastAsia="en-US"/>
    </w:rPr>
  </w:style>
  <w:style w:type="paragraph" w:customStyle="1" w:styleId="Doc-title">
    <w:name w:val="Doc-title"/>
    <w:basedOn w:val="Normal"/>
    <w:link w:val="Doc-titleChar"/>
    <w:qFormat/>
    <w:rsid w:val="009A7E4E"/>
    <w:pPr>
      <w:overflowPunct/>
      <w:autoSpaceDE/>
      <w:autoSpaceDN/>
      <w:adjustRightInd/>
      <w:spacing w:before="60" w:after="0"/>
      <w:ind w:left="1259" w:hanging="1259"/>
      <w:textAlignment w:val="auto"/>
    </w:pPr>
    <w:rPr>
      <w:rFonts w:ascii="Arial" w:hAnsi="Arial" w:cs="Arial"/>
      <w:lang w:val="en-US" w:eastAsia="zh-CN"/>
    </w:rPr>
  </w:style>
  <w:style w:type="paragraph" w:customStyle="1" w:styleId="references">
    <w:name w:val="references"/>
    <w:rsid w:val="00701CD2"/>
    <w:pPr>
      <w:numPr>
        <w:numId w:val="40"/>
      </w:numPr>
      <w:spacing w:after="50" w:line="180" w:lineRule="exact"/>
      <w:jc w:val="both"/>
    </w:pPr>
    <w:rPr>
      <w:rFonts w:ascii="Times New Roman" w:eastAsia="MS Mincho" w:hAnsi="Times New Roman"/>
      <w:noProof/>
      <w:sz w:val="16"/>
      <w:szCs w:val="16"/>
      <w:lang w:val="en-US" w:eastAsia="en-US"/>
    </w:rPr>
  </w:style>
  <w:style w:type="paragraph" w:customStyle="1" w:styleId="CharCharCharCharCharChar">
    <w:name w:val="Char Char Char Char Char Char"/>
    <w:semiHidden/>
    <w:rsid w:val="00701CD2"/>
    <w:pPr>
      <w:keepNext/>
      <w:numPr>
        <w:numId w:val="41"/>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701CD2"/>
    <w:pPr>
      <w:numPr>
        <w:numId w:val="43"/>
      </w:numPr>
      <w:overflowPunct/>
      <w:autoSpaceDE/>
      <w:autoSpaceDN/>
      <w:adjustRightInd/>
      <w:spacing w:after="0"/>
      <w:jc w:val="both"/>
      <w:textAlignment w:val="auto"/>
    </w:pPr>
    <w:rPr>
      <w:rFonts w:eastAsia="MS Mincho"/>
      <w:lang w:eastAsia="en-US"/>
    </w:rPr>
  </w:style>
  <w:style w:type="paragraph" w:customStyle="1" w:styleId="FigureCaption">
    <w:name w:val="Figure Caption"/>
    <w:aliases w:val="fc Char,Figure Caption Char"/>
    <w:basedOn w:val="Normal"/>
    <w:rsid w:val="009A7E4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rsid w:val="009A7E4E"/>
    <w:pPr>
      <w:overflowPunct/>
      <w:autoSpaceDE/>
      <w:autoSpaceDN/>
      <w:adjustRightInd/>
      <w:spacing w:before="120" w:after="120" w:line="240" w:lineRule="atLeast"/>
      <w:jc w:val="right"/>
      <w:textAlignment w:val="auto"/>
    </w:pPr>
    <w:rPr>
      <w:rFonts w:eastAsiaTheme="minorEastAsia"/>
      <w:sz w:val="22"/>
      <w:lang w:val="en-US" w:eastAsia="en-US"/>
    </w:rPr>
  </w:style>
  <w:style w:type="paragraph" w:customStyle="1" w:styleId="multifig">
    <w:name w:val="multifig"/>
    <w:basedOn w:val="Normal"/>
    <w:rsid w:val="009A7E4E"/>
    <w:pPr>
      <w:keepNext/>
      <w:tabs>
        <w:tab w:val="center" w:pos="2160"/>
        <w:tab w:val="center" w:pos="6480"/>
      </w:tabs>
      <w:overflowPunct/>
      <w:autoSpaceDE/>
      <w:autoSpaceDN/>
      <w:adjustRightInd/>
      <w:spacing w:after="0" w:line="240" w:lineRule="atLeast"/>
      <w:textAlignment w:val="auto"/>
    </w:pPr>
    <w:rPr>
      <w:rFonts w:eastAsiaTheme="minorEastAsia"/>
      <w:sz w:val="24"/>
      <w:lang w:val="en-US" w:eastAsia="en-US"/>
    </w:rPr>
  </w:style>
  <w:style w:type="paragraph" w:customStyle="1" w:styleId="TableCaption">
    <w:name w:val="TableCaption"/>
    <w:basedOn w:val="Normal"/>
    <w:rsid w:val="009A7E4E"/>
    <w:pPr>
      <w:keepNext/>
      <w:tabs>
        <w:tab w:val="left" w:pos="936"/>
      </w:tabs>
      <w:overflowPunct/>
      <w:autoSpaceDE/>
      <w:autoSpaceDN/>
      <w:adjustRightInd/>
      <w:spacing w:before="120" w:after="60"/>
      <w:ind w:left="936" w:hanging="936"/>
      <w:jc w:val="both"/>
      <w:textAlignment w:val="auto"/>
    </w:pPr>
    <w:rPr>
      <w:rFonts w:eastAsiaTheme="minorEastAsia"/>
      <w:sz w:val="22"/>
      <w:lang w:val="en-US" w:eastAsia="en-US"/>
    </w:rPr>
  </w:style>
  <w:style w:type="paragraph" w:customStyle="1" w:styleId="EquationNumbered">
    <w:name w:val="Equation Numbered"/>
    <w:basedOn w:val="Normal"/>
    <w:rsid w:val="009A7E4E"/>
    <w:pPr>
      <w:tabs>
        <w:tab w:val="center" w:pos="4320"/>
        <w:tab w:val="right" w:pos="8640"/>
      </w:tabs>
      <w:overflowPunct/>
      <w:autoSpaceDE/>
      <w:autoSpaceDN/>
      <w:adjustRightInd/>
      <w:spacing w:before="60" w:after="60" w:line="300" w:lineRule="atLeast"/>
      <w:textAlignment w:val="auto"/>
    </w:pPr>
    <w:rPr>
      <w:rFonts w:eastAsiaTheme="minorEastAsia"/>
      <w:sz w:val="22"/>
      <w:lang w:val="en-US" w:eastAsia="en-US"/>
    </w:rPr>
  </w:style>
  <w:style w:type="paragraph" w:customStyle="1" w:styleId="Style10ptChar">
    <w:name w:val="Style 10 pt Char"/>
    <w:basedOn w:val="Normal"/>
    <w:rsid w:val="009A7E4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rsid w:val="009A7E4E"/>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9A7E4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rsid w:val="009A7E4E"/>
    <w:rPr>
      <w:rFonts w:ascii="Arial" w:eastAsia="MS Mincho" w:hAnsi="Arial" w:cs="Arial"/>
      <w:b/>
      <w:color w:val="0000FF"/>
      <w:kern w:val="2"/>
      <w:lang w:val="en-US" w:eastAsia="en-US" w:bidi="ar-SA"/>
    </w:rPr>
  </w:style>
  <w:style w:type="paragraph" w:customStyle="1" w:styleId="Bullet0">
    <w:name w:val="Bullet"/>
    <w:basedOn w:val="Normal"/>
    <w:rsid w:val="00701CD2"/>
    <w:pPr>
      <w:numPr>
        <w:numId w:val="42"/>
      </w:numPr>
      <w:overflowPunct/>
      <w:autoSpaceDE/>
      <w:autoSpaceDN/>
      <w:adjustRightInd/>
      <w:spacing w:after="0"/>
      <w:textAlignment w:val="auto"/>
    </w:pPr>
    <w:rPr>
      <w:rFonts w:eastAsiaTheme="minorEastAsia"/>
      <w:sz w:val="24"/>
      <w:szCs w:val="24"/>
      <w:lang w:val="en-US" w:eastAsia="en-US"/>
    </w:rPr>
  </w:style>
  <w:style w:type="paragraph" w:customStyle="1" w:styleId="FigureCentered">
    <w:name w:val="FigureCentered"/>
    <w:basedOn w:val="Normal"/>
    <w:next w:val="Normal"/>
    <w:rsid w:val="009A7E4E"/>
    <w:pPr>
      <w:keepNext/>
      <w:overflowPunct/>
      <w:autoSpaceDE/>
      <w:autoSpaceDN/>
      <w:adjustRightInd/>
      <w:spacing w:before="60" w:after="60" w:line="240" w:lineRule="atLeast"/>
      <w:jc w:val="center"/>
      <w:textAlignment w:val="auto"/>
    </w:pPr>
    <w:rPr>
      <w:rFonts w:eastAsiaTheme="minorEastAsia"/>
      <w:sz w:val="24"/>
      <w:lang w:val="en-US" w:eastAsia="en-US"/>
    </w:rPr>
  </w:style>
  <w:style w:type="character" w:customStyle="1" w:styleId="Equation-NumberedChar">
    <w:name w:val="Equation-Numbered Char"/>
    <w:rsid w:val="009A7E4E"/>
    <w:rPr>
      <w:rFonts w:ascii="Arial" w:eastAsia="SimSun" w:hAnsi="Arial" w:cs="Arial"/>
      <w:color w:val="0000FF"/>
      <w:kern w:val="2"/>
      <w:sz w:val="22"/>
      <w:lang w:val="en-US" w:eastAsia="en-US" w:bidi="ar-SA"/>
    </w:rPr>
  </w:style>
  <w:style w:type="paragraph" w:customStyle="1" w:styleId="item">
    <w:name w:val="item"/>
    <w:basedOn w:val="Normal"/>
    <w:rsid w:val="00701CD2"/>
    <w:pPr>
      <w:numPr>
        <w:numId w:val="44"/>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rsid w:val="009A7E4E"/>
    <w:pPr>
      <w:overflowPunct/>
      <w:autoSpaceDE/>
      <w:autoSpaceDN/>
      <w:adjustRightInd/>
      <w:spacing w:after="0"/>
      <w:jc w:val="both"/>
      <w:textAlignment w:val="auto"/>
    </w:pPr>
    <w:rPr>
      <w:rFonts w:eastAsiaTheme="minorEastAsia"/>
      <w:sz w:val="16"/>
      <w:szCs w:val="24"/>
      <w:lang w:val="en-US" w:eastAsia="en-US"/>
    </w:rPr>
  </w:style>
  <w:style w:type="character" w:styleId="LineNumber">
    <w:name w:val="line number"/>
    <w:rsid w:val="009A7E4E"/>
    <w:rPr>
      <w:rFonts w:ascii="Arial" w:eastAsia="SimSun" w:hAnsi="Arial" w:cs="Arial"/>
      <w:color w:val="0000FF"/>
      <w:kern w:val="2"/>
      <w:sz w:val="18"/>
      <w:lang w:val="en-US" w:eastAsia="zh-CN" w:bidi="ar-SA"/>
    </w:rPr>
  </w:style>
  <w:style w:type="paragraph" w:customStyle="1" w:styleId="figure0">
    <w:name w:val="figure"/>
    <w:basedOn w:val="Normal"/>
    <w:rsid w:val="009A7E4E"/>
    <w:pPr>
      <w:keepNext/>
      <w:keepLines/>
      <w:overflowPunct/>
      <w:autoSpaceDE/>
      <w:autoSpaceDN/>
      <w:adjustRightInd/>
      <w:spacing w:before="60" w:after="60" w:line="240" w:lineRule="atLeast"/>
      <w:jc w:val="center"/>
      <w:textAlignment w:val="auto"/>
    </w:pPr>
    <w:rPr>
      <w:rFonts w:eastAsiaTheme="minorEastAsia"/>
      <w:lang w:val="en-US" w:eastAsia="en-US"/>
    </w:rPr>
  </w:style>
  <w:style w:type="character" w:customStyle="1" w:styleId="moz-txt-tag">
    <w:name w:val="moz-txt-tag"/>
    <w:rsid w:val="009A7E4E"/>
    <w:rPr>
      <w:rFonts w:ascii="Arial" w:eastAsia="SimSun" w:hAnsi="Arial" w:cs="Arial"/>
      <w:color w:val="0000FF"/>
      <w:kern w:val="2"/>
      <w:lang w:val="en-US" w:eastAsia="zh-CN" w:bidi="ar-SA"/>
    </w:rPr>
  </w:style>
  <w:style w:type="paragraph" w:customStyle="1" w:styleId="tac0">
    <w:name w:val="tac"/>
    <w:basedOn w:val="Normal"/>
    <w:rsid w:val="009A7E4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Normal"/>
    <w:rsid w:val="009A7E4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rsid w:val="009A7E4E"/>
    <w:pPr>
      <w:keepNext/>
      <w:tabs>
        <w:tab w:val="num" w:pos="720"/>
      </w:tabs>
      <w:autoSpaceDE w:val="0"/>
      <w:autoSpaceDN w:val="0"/>
      <w:adjustRightInd w:val="0"/>
      <w:ind w:left="720" w:hanging="360"/>
      <w:jc w:val="both"/>
    </w:pPr>
    <w:rPr>
      <w:rFonts w:ascii="Times New Roman" w:eastAsiaTheme="minorEastAsia" w:hAnsi="Times New Roman"/>
      <w:kern w:val="2"/>
      <w:lang w:eastAsia="zh-CN"/>
    </w:rPr>
  </w:style>
  <w:style w:type="paragraph" w:customStyle="1" w:styleId="CharCharCharCharCharChar1">
    <w:name w:val="Char Char Char Char Char Char1"/>
    <w:semiHidden/>
    <w:rsid w:val="009A7E4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9A7E4E"/>
    <w:pPr>
      <w:keepNext/>
      <w:tabs>
        <w:tab w:val="num" w:pos="720"/>
      </w:tabs>
      <w:autoSpaceDE w:val="0"/>
      <w:autoSpaceDN w:val="0"/>
      <w:adjustRightInd w:val="0"/>
      <w:ind w:left="720" w:hanging="360"/>
      <w:jc w:val="both"/>
    </w:pPr>
    <w:rPr>
      <w:rFonts w:ascii="Times New Roman" w:eastAsiaTheme="minorEastAsia" w:hAnsi="Times New Roman"/>
      <w:kern w:val="2"/>
      <w:lang w:eastAsia="zh-CN"/>
    </w:rPr>
  </w:style>
  <w:style w:type="numbering" w:customStyle="1" w:styleId="11">
    <w:name w:val="无列表1"/>
    <w:next w:val="NoList"/>
    <w:uiPriority w:val="99"/>
    <w:semiHidden/>
    <w:unhideWhenUsed/>
    <w:rsid w:val="009A7E4E"/>
  </w:style>
  <w:style w:type="character" w:customStyle="1" w:styleId="opdicttext22">
    <w:name w:val="op_dict_text22"/>
    <w:basedOn w:val="DefaultParagraphFont"/>
    <w:rsid w:val="009A7E4E"/>
  </w:style>
  <w:style w:type="character" w:customStyle="1" w:styleId="def">
    <w:name w:val="def"/>
    <w:basedOn w:val="DefaultParagraphFont"/>
    <w:rsid w:val="009A7E4E"/>
  </w:style>
  <w:style w:type="paragraph" w:customStyle="1" w:styleId="Normalwithindent">
    <w:name w:val="Normal with indent"/>
    <w:basedOn w:val="Normal"/>
    <w:link w:val="NormalwithindentChar"/>
    <w:qFormat/>
    <w:rsid w:val="009A7E4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rsid w:val="009A7E4E"/>
    <w:rPr>
      <w:rFonts w:ascii="Times New Roman" w:eastAsia="Malgun Gothic" w:hAnsi="Times New Roman"/>
      <w:lang w:eastAsia="zh-CN"/>
    </w:rPr>
  </w:style>
  <w:style w:type="paragraph" w:styleId="NoSpacing">
    <w:name w:val="No Spacing"/>
    <w:uiPriority w:val="1"/>
    <w:qFormat/>
    <w:rsid w:val="009A7E4E"/>
    <w:rPr>
      <w:rFonts w:ascii="Calibri" w:hAnsi="Calibri"/>
      <w:sz w:val="22"/>
      <w:szCs w:val="22"/>
      <w:lang w:val="en-US" w:eastAsia="zh-CN"/>
    </w:rPr>
  </w:style>
  <w:style w:type="character" w:customStyle="1" w:styleId="high-light-bg4">
    <w:name w:val="high-light-bg4"/>
    <w:basedOn w:val="DefaultParagraphFont"/>
    <w:rsid w:val="009A7E4E"/>
  </w:style>
  <w:style w:type="character" w:customStyle="1" w:styleId="TitleChar2">
    <w:name w:val="Title Char2"/>
    <w:basedOn w:val="DefaultParagraphFont"/>
    <w:uiPriority w:val="10"/>
    <w:locked/>
    <w:rsid w:val="009A7E4E"/>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9A7E4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rsid w:val="009A7E4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rsid w:val="00701CD2"/>
    <w:pPr>
      <w:numPr>
        <w:numId w:val="45"/>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rsid w:val="00701CD2"/>
    <w:pPr>
      <w:numPr>
        <w:numId w:val="0"/>
      </w:numPr>
      <w:overflowPunct/>
      <w:autoSpaceDE/>
      <w:autoSpaceDN/>
      <w:adjustRightInd/>
      <w:spacing w:after="240"/>
      <w:ind w:left="714" w:hanging="357"/>
      <w:jc w:val="left"/>
      <w:textAlignment w:val="auto"/>
    </w:pPr>
    <w:rPr>
      <w:rFonts w:eastAsia="MS Gothic"/>
      <w:sz w:val="24"/>
    </w:rPr>
  </w:style>
  <w:style w:type="paragraph" w:styleId="BodyText3">
    <w:name w:val="Body Text 3"/>
    <w:basedOn w:val="Normal"/>
    <w:link w:val="BodyText3Char"/>
    <w:rsid w:val="009A7E4E"/>
    <w:pPr>
      <w:overflowPunct/>
      <w:autoSpaceDE/>
      <w:autoSpaceDN/>
      <w:adjustRightInd/>
      <w:spacing w:after="0"/>
      <w:jc w:val="both"/>
      <w:textAlignment w:val="auto"/>
    </w:pPr>
    <w:rPr>
      <w:rFonts w:eastAsia="MS Gothic"/>
      <w:sz w:val="24"/>
    </w:rPr>
  </w:style>
  <w:style w:type="character" w:customStyle="1" w:styleId="BodyText3Char">
    <w:name w:val="Body Text 3 Char"/>
    <w:basedOn w:val="DefaultParagraphFont"/>
    <w:link w:val="BodyText3"/>
    <w:rsid w:val="009A7E4E"/>
    <w:rPr>
      <w:rFonts w:ascii="Times New Roman" w:eastAsia="MS Gothic" w:hAnsi="Times New Roman"/>
      <w:sz w:val="24"/>
      <w:lang w:eastAsia="ja-JP"/>
    </w:rPr>
  </w:style>
  <w:style w:type="paragraph" w:customStyle="1" w:styleId="TableText1">
    <w:name w:val="Table_Text"/>
    <w:basedOn w:val="Normal"/>
    <w:rsid w:val="009A7E4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rsid w:val="009A7E4E"/>
    <w:pPr>
      <w:keepNext/>
      <w:tabs>
        <w:tab w:val="left" w:pos="1247"/>
        <w:tab w:val="left" w:pos="2552"/>
        <w:tab w:val="left" w:pos="3856"/>
        <w:tab w:val="left" w:pos="5216"/>
        <w:tab w:val="left" w:pos="6464"/>
        <w:tab w:val="left" w:pos="7768"/>
        <w:tab w:val="left" w:pos="9072"/>
        <w:tab w:val="left" w:pos="10206"/>
      </w:tabs>
      <w:spacing w:after="0" w:line="480" w:lineRule="auto"/>
      <w:jc w:val="left"/>
    </w:pPr>
    <w:rPr>
      <w:rFonts w:ascii="Times" w:eastAsia="Mincho" w:hAnsi="Times"/>
      <w:sz w:val="24"/>
      <w:lang w:eastAsia="ja-JP"/>
    </w:rPr>
  </w:style>
  <w:style w:type="paragraph" w:customStyle="1" w:styleId="HTMLBody">
    <w:name w:val="HTML Body"/>
    <w:rsid w:val="009A7E4E"/>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9A7E4E"/>
    <w:rPr>
      <w:rFonts w:eastAsia="MS Gothic"/>
      <w:b/>
      <w:noProof w:val="0"/>
      <w:kern w:val="2"/>
      <w:sz w:val="24"/>
      <w:lang w:val="en-GB"/>
    </w:rPr>
  </w:style>
  <w:style w:type="paragraph" w:customStyle="1" w:styleId="Normal1CharChar">
    <w:name w:val="Normal1 Char Char"/>
    <w:rsid w:val="009A7E4E"/>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eastAsia="ja-JP"/>
    </w:rPr>
  </w:style>
  <w:style w:type="paragraph" w:customStyle="1" w:styleId="CharCharCharCarCarCharCharCarCar">
    <w:name w:val="Char Char Char Car Car Char Char Car Car"/>
    <w:rsid w:val="009A7E4E"/>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9A7E4E"/>
    <w:pPr>
      <w:keepNext/>
      <w:tabs>
        <w:tab w:val="num" w:pos="720"/>
      </w:tabs>
      <w:autoSpaceDE w:val="0"/>
      <w:autoSpaceDN w:val="0"/>
      <w:adjustRightInd w:val="0"/>
      <w:ind w:left="720" w:hanging="360"/>
      <w:jc w:val="both"/>
    </w:pPr>
    <w:rPr>
      <w:rFonts w:ascii="Times New Roman" w:hAnsi="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9A7E4E"/>
    <w:pPr>
      <w:keepNext/>
      <w:tabs>
        <w:tab w:val="num" w:pos="720"/>
      </w:tabs>
      <w:autoSpaceDE w:val="0"/>
      <w:autoSpaceDN w:val="0"/>
      <w:adjustRightInd w:val="0"/>
      <w:ind w:left="720" w:hanging="360"/>
      <w:jc w:val="both"/>
    </w:pPr>
    <w:rPr>
      <w:rFonts w:ascii="Times New Roman" w:hAnsi="Times New Roman"/>
      <w:kern w:val="2"/>
      <w:lang w:eastAsia="zh-CN"/>
    </w:rPr>
  </w:style>
  <w:style w:type="paragraph" w:customStyle="1" w:styleId="CharChar1CharCharCharCharCharCharCharCharCharCharCharCharCharCharChar">
    <w:name w:val="Char Char1 Char Char Char Char Char Char Char Char Char Char Char Char Char Char Char"/>
    <w:semiHidden/>
    <w:rsid w:val="009A7E4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9A7E4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
    <w:name w:val="表 (赤)  71"/>
    <w:hidden/>
    <w:uiPriority w:val="99"/>
    <w:semiHidden/>
    <w:rsid w:val="009A7E4E"/>
    <w:rPr>
      <w:rFonts w:ascii="Times New Roman" w:eastAsia="MS Gothic" w:hAnsi="Times New Roman"/>
      <w:sz w:val="24"/>
      <w:lang w:eastAsia="ja-JP"/>
    </w:rPr>
  </w:style>
  <w:style w:type="character" w:customStyle="1" w:styleId="Doc-titleChar">
    <w:name w:val="Doc-title Char"/>
    <w:link w:val="Doc-title"/>
    <w:rsid w:val="009A7E4E"/>
    <w:rPr>
      <w:rFonts w:ascii="Arial" w:eastAsia="SimSun" w:hAnsi="Arial" w:cs="Arial"/>
      <w:lang w:val="en-US" w:eastAsia="zh-CN"/>
    </w:rPr>
  </w:style>
  <w:style w:type="paragraph" w:customStyle="1" w:styleId="msonormal0">
    <w:name w:val="msonormal"/>
    <w:basedOn w:val="Normal"/>
    <w:rsid w:val="009A7E4E"/>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paragraph" w:customStyle="1" w:styleId="font5">
    <w:name w:val="font5"/>
    <w:basedOn w:val="Normal"/>
    <w:rsid w:val="009A7E4E"/>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Normal"/>
    <w:rsid w:val="009A7E4E"/>
    <w:pP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66">
    <w:name w:val="xl66"/>
    <w:basedOn w:val="Normal"/>
    <w:rsid w:val="009A7E4E"/>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7">
    <w:name w:val="xl67"/>
    <w:basedOn w:val="Normal"/>
    <w:rsid w:val="009A7E4E"/>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8">
    <w:name w:val="xl68"/>
    <w:basedOn w:val="Normal"/>
    <w:rsid w:val="009A7E4E"/>
    <w:pPr>
      <w:overflowPunct/>
      <w:autoSpaceDE/>
      <w:autoSpaceDN/>
      <w:adjustRightInd/>
      <w:spacing w:before="100" w:beforeAutospacing="1" w:after="100" w:afterAutospacing="1"/>
      <w:jc w:val="center"/>
      <w:textAlignment w:val="auto"/>
    </w:pPr>
    <w:rPr>
      <w:rFonts w:ascii="SimSun" w:hAnsi="SimSun" w:cs="SimSun"/>
      <w:sz w:val="15"/>
      <w:szCs w:val="15"/>
      <w:lang w:val="en-US" w:eastAsia="zh-CN"/>
    </w:rPr>
  </w:style>
  <w:style w:type="paragraph" w:customStyle="1" w:styleId="xl69">
    <w:name w:val="xl69"/>
    <w:basedOn w:val="Normal"/>
    <w:rsid w:val="009A7E4E"/>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0">
    <w:name w:val="xl70"/>
    <w:basedOn w:val="Normal"/>
    <w:rsid w:val="009A7E4E"/>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1">
    <w:name w:val="xl71"/>
    <w:basedOn w:val="Normal"/>
    <w:rsid w:val="009A7E4E"/>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2">
    <w:name w:val="xl72"/>
    <w:basedOn w:val="Normal"/>
    <w:rsid w:val="009A7E4E"/>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73">
    <w:name w:val="xl73"/>
    <w:basedOn w:val="Normal"/>
    <w:rsid w:val="009A7E4E"/>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4">
    <w:name w:val="xl74"/>
    <w:basedOn w:val="Normal"/>
    <w:rsid w:val="009A7E4E"/>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5">
    <w:name w:val="xl75"/>
    <w:basedOn w:val="Normal"/>
    <w:rsid w:val="009A7E4E"/>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6">
    <w:name w:val="xl76"/>
    <w:basedOn w:val="Normal"/>
    <w:rsid w:val="009A7E4E"/>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77">
    <w:name w:val="xl77"/>
    <w:basedOn w:val="Normal"/>
    <w:rsid w:val="009A7E4E"/>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78">
    <w:name w:val="xl78"/>
    <w:basedOn w:val="Normal"/>
    <w:rsid w:val="009A7E4E"/>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79">
    <w:name w:val="xl79"/>
    <w:basedOn w:val="Normal"/>
    <w:rsid w:val="009A7E4E"/>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80">
    <w:name w:val="xl80"/>
    <w:basedOn w:val="Normal"/>
    <w:rsid w:val="009A7E4E"/>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1">
    <w:name w:val="xl81"/>
    <w:basedOn w:val="Normal"/>
    <w:rsid w:val="009A7E4E"/>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2">
    <w:name w:val="xl82"/>
    <w:basedOn w:val="Normal"/>
    <w:rsid w:val="009A7E4E"/>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3">
    <w:name w:val="xl83"/>
    <w:basedOn w:val="Normal"/>
    <w:rsid w:val="009A7E4E"/>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84">
    <w:name w:val="xl84"/>
    <w:basedOn w:val="Normal"/>
    <w:rsid w:val="009A7E4E"/>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85">
    <w:name w:val="xl85"/>
    <w:basedOn w:val="Normal"/>
    <w:rsid w:val="009A7E4E"/>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6">
    <w:name w:val="xl86"/>
    <w:basedOn w:val="Normal"/>
    <w:rsid w:val="009A7E4E"/>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7">
    <w:name w:val="xl87"/>
    <w:basedOn w:val="Normal"/>
    <w:rsid w:val="009A7E4E"/>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8">
    <w:name w:val="xl88"/>
    <w:basedOn w:val="Normal"/>
    <w:rsid w:val="009A7E4E"/>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89">
    <w:name w:val="xl89"/>
    <w:basedOn w:val="Normal"/>
    <w:rsid w:val="009A7E4E"/>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0">
    <w:name w:val="xl90"/>
    <w:basedOn w:val="Normal"/>
    <w:rsid w:val="009A7E4E"/>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1">
    <w:name w:val="xl91"/>
    <w:basedOn w:val="Normal"/>
    <w:rsid w:val="009A7E4E"/>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2">
    <w:name w:val="xl92"/>
    <w:basedOn w:val="Normal"/>
    <w:rsid w:val="009A7E4E"/>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val="en-US" w:eastAsia="zh-CN"/>
    </w:rPr>
  </w:style>
  <w:style w:type="paragraph" w:customStyle="1" w:styleId="xl93">
    <w:name w:val="xl93"/>
    <w:basedOn w:val="Normal"/>
    <w:rsid w:val="009A7E4E"/>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val="en-US" w:eastAsia="zh-CN"/>
    </w:rPr>
  </w:style>
  <w:style w:type="paragraph" w:customStyle="1" w:styleId="xl94">
    <w:name w:val="xl94"/>
    <w:basedOn w:val="Normal"/>
    <w:rsid w:val="009A7E4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5">
    <w:name w:val="xl95"/>
    <w:basedOn w:val="Normal"/>
    <w:rsid w:val="009A7E4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6">
    <w:name w:val="xl96"/>
    <w:basedOn w:val="Normal"/>
    <w:rsid w:val="009A7E4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7">
    <w:name w:val="xl97"/>
    <w:basedOn w:val="Normal"/>
    <w:rsid w:val="009A7E4E"/>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8">
    <w:name w:val="xl98"/>
    <w:basedOn w:val="Normal"/>
    <w:rsid w:val="009A7E4E"/>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99">
    <w:name w:val="xl99"/>
    <w:basedOn w:val="Normal"/>
    <w:rsid w:val="009A7E4E"/>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00">
    <w:name w:val="xl100"/>
    <w:basedOn w:val="Normal"/>
    <w:rsid w:val="009A7E4E"/>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01">
    <w:name w:val="xl101"/>
    <w:basedOn w:val="Normal"/>
    <w:rsid w:val="009A7E4E"/>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val="en-US" w:eastAsia="zh-CN"/>
    </w:rPr>
  </w:style>
  <w:style w:type="paragraph" w:customStyle="1" w:styleId="xl102">
    <w:name w:val="xl102"/>
    <w:basedOn w:val="Normal"/>
    <w:rsid w:val="009A7E4E"/>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val="en-US" w:eastAsia="zh-CN"/>
    </w:rPr>
  </w:style>
  <w:style w:type="paragraph" w:customStyle="1" w:styleId="xl103">
    <w:name w:val="xl103"/>
    <w:basedOn w:val="Normal"/>
    <w:rsid w:val="009A7E4E"/>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04">
    <w:name w:val="xl104"/>
    <w:basedOn w:val="Normal"/>
    <w:rsid w:val="009A7E4E"/>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05">
    <w:name w:val="xl105"/>
    <w:basedOn w:val="Normal"/>
    <w:rsid w:val="009A7E4E"/>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06">
    <w:name w:val="xl106"/>
    <w:basedOn w:val="Normal"/>
    <w:rsid w:val="009A7E4E"/>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val="en-US" w:eastAsia="zh-CN"/>
    </w:rPr>
  </w:style>
  <w:style w:type="paragraph" w:customStyle="1" w:styleId="xl107">
    <w:name w:val="xl107"/>
    <w:basedOn w:val="Normal"/>
    <w:rsid w:val="009A7E4E"/>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val="en-US" w:eastAsia="zh-CN"/>
    </w:rPr>
  </w:style>
  <w:style w:type="paragraph" w:customStyle="1" w:styleId="xl108">
    <w:name w:val="xl108"/>
    <w:basedOn w:val="Normal"/>
    <w:rsid w:val="009A7E4E"/>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109">
    <w:name w:val="xl109"/>
    <w:basedOn w:val="Normal"/>
    <w:rsid w:val="009A7E4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0">
    <w:name w:val="xl110"/>
    <w:basedOn w:val="Normal"/>
    <w:rsid w:val="009A7E4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1">
    <w:name w:val="xl111"/>
    <w:basedOn w:val="Normal"/>
    <w:rsid w:val="009A7E4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2">
    <w:name w:val="xl112"/>
    <w:basedOn w:val="Normal"/>
    <w:rsid w:val="009A7E4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3">
    <w:name w:val="xl113"/>
    <w:basedOn w:val="Normal"/>
    <w:rsid w:val="009A7E4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4">
    <w:name w:val="xl114"/>
    <w:basedOn w:val="Normal"/>
    <w:rsid w:val="009A7E4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5">
    <w:name w:val="xl115"/>
    <w:basedOn w:val="Normal"/>
    <w:rsid w:val="009A7E4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6">
    <w:name w:val="xl116"/>
    <w:basedOn w:val="Normal"/>
    <w:rsid w:val="009A7E4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paragraph" w:customStyle="1" w:styleId="xl117">
    <w:name w:val="xl117"/>
    <w:basedOn w:val="Normal"/>
    <w:rsid w:val="009A7E4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val="en-US" w:eastAsia="zh-CN"/>
    </w:rPr>
  </w:style>
  <w:style w:type="character" w:customStyle="1" w:styleId="MTEquationSection">
    <w:name w:val="MTEquationSection"/>
    <w:rsid w:val="009A7E4E"/>
    <w:rPr>
      <w:rFonts w:ascii="Arial" w:hAnsi="Arial"/>
      <w:vanish w:val="0"/>
      <w:color w:val="FF0000"/>
      <w:sz w:val="24"/>
    </w:rPr>
  </w:style>
  <w:style w:type="paragraph" w:customStyle="1" w:styleId="Bulletedo1">
    <w:name w:val="Bulleted o 1"/>
    <w:basedOn w:val="Normal"/>
    <w:rsid w:val="00701CD2"/>
    <w:pPr>
      <w:numPr>
        <w:numId w:val="46"/>
      </w:numPr>
    </w:pPr>
    <w:rPr>
      <w:lang w:val="en-US" w:eastAsia="en-US"/>
    </w:rPr>
  </w:style>
  <w:style w:type="paragraph" w:customStyle="1" w:styleId="Equation">
    <w:name w:val="Equation"/>
    <w:basedOn w:val="Normal"/>
    <w:next w:val="Normal"/>
    <w:rsid w:val="009A7E4E"/>
    <w:pPr>
      <w:tabs>
        <w:tab w:val="right" w:pos="10206"/>
      </w:tabs>
      <w:spacing w:after="220"/>
      <w:ind w:left="1298"/>
    </w:pPr>
    <w:rPr>
      <w:rFonts w:ascii="Arial" w:hAnsi="Arial"/>
      <w:sz w:val="22"/>
      <w:lang w:val="en-US" w:eastAsia="zh-CN"/>
    </w:rPr>
  </w:style>
  <w:style w:type="paragraph" w:customStyle="1" w:styleId="11BodyText">
    <w:name w:val="11 BodyText"/>
    <w:basedOn w:val="Normal"/>
    <w:rsid w:val="009A7E4E"/>
    <w:pPr>
      <w:spacing w:after="220"/>
      <w:ind w:left="1298"/>
    </w:pPr>
    <w:rPr>
      <w:rFonts w:ascii="Arial" w:hAnsi="Arial"/>
      <w:sz w:val="22"/>
      <w:lang w:val="en-US" w:eastAsia="en-US"/>
    </w:rPr>
  </w:style>
  <w:style w:type="paragraph" w:customStyle="1" w:styleId="bodyCharCharChar">
    <w:name w:val="body Char Char Char"/>
    <w:basedOn w:val="Normal"/>
    <w:rsid w:val="009A7E4E"/>
    <w:pPr>
      <w:tabs>
        <w:tab w:val="left" w:pos="2160"/>
      </w:tabs>
      <w:spacing w:before="120" w:after="120" w:line="280" w:lineRule="atLeast"/>
      <w:jc w:val="both"/>
    </w:pPr>
    <w:rPr>
      <w:rFonts w:ascii="New York" w:hAnsi="New York"/>
      <w:sz w:val="24"/>
      <w:lang w:val="en-US" w:eastAsia="en-US"/>
    </w:rPr>
  </w:style>
  <w:style w:type="paragraph" w:customStyle="1" w:styleId="body">
    <w:name w:val="body"/>
    <w:basedOn w:val="Normal"/>
    <w:rsid w:val="009A7E4E"/>
    <w:pPr>
      <w:tabs>
        <w:tab w:val="left" w:pos="2160"/>
      </w:tabs>
      <w:spacing w:before="120" w:after="120" w:line="280" w:lineRule="atLeast"/>
      <w:jc w:val="both"/>
    </w:pPr>
    <w:rPr>
      <w:rFonts w:ascii="New York" w:hAnsi="New York"/>
      <w:sz w:val="24"/>
      <w:lang w:val="en-US"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9A7E4E"/>
    <w:rPr>
      <w:rFonts w:ascii="Arial" w:hAnsi="Arial"/>
      <w:sz w:val="32"/>
      <w:lang w:val="en-GB" w:eastAsia="en-US"/>
    </w:rPr>
  </w:style>
  <w:style w:type="character" w:customStyle="1" w:styleId="CharChar3">
    <w:name w:val="Char Char3"/>
    <w:rsid w:val="009A7E4E"/>
    <w:rPr>
      <w:rFonts w:ascii="Arial" w:hAnsi="Arial"/>
      <w:sz w:val="36"/>
      <w:lang w:val="en-GB" w:eastAsia="en-US" w:bidi="ar-SA"/>
    </w:rPr>
  </w:style>
  <w:style w:type="character" w:customStyle="1" w:styleId="CharChar2">
    <w:name w:val="Char Char2"/>
    <w:rsid w:val="009A7E4E"/>
    <w:rPr>
      <w:rFonts w:ascii="Arial" w:hAnsi="Arial"/>
      <w:sz w:val="32"/>
      <w:lang w:val="en-GB" w:eastAsia="en-US" w:bidi="ar-SA"/>
    </w:rPr>
  </w:style>
  <w:style w:type="character" w:customStyle="1" w:styleId="CharChar1">
    <w:name w:val="Char Char1"/>
    <w:rsid w:val="009A7E4E"/>
    <w:rPr>
      <w:rFonts w:ascii="Arial" w:hAnsi="Arial"/>
      <w:sz w:val="28"/>
      <w:lang w:val="en-GB" w:eastAsia="en-US" w:bidi="ar-SA"/>
    </w:rPr>
  </w:style>
  <w:style w:type="character" w:customStyle="1" w:styleId="CharChar">
    <w:name w:val="Char Char"/>
    <w:rsid w:val="009A7E4E"/>
    <w:rPr>
      <w:rFonts w:ascii="Arial" w:hAnsi="Arial"/>
      <w:sz w:val="22"/>
      <w:lang w:val="en-GB" w:eastAsia="en-US" w:bidi="ar-SA"/>
    </w:rPr>
  </w:style>
  <w:style w:type="table" w:styleId="DarkList-Accent6">
    <w:name w:val="Dark List Accent 6"/>
    <w:basedOn w:val="TableNormal"/>
    <w:uiPriority w:val="70"/>
    <w:rsid w:val="00701CD2"/>
    <w:rPr>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9A7E4E"/>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rPr>
  </w:style>
  <w:style w:type="character" w:customStyle="1" w:styleId="a5">
    <w:name w:val="テキスト (文字)"/>
    <w:link w:val="a4"/>
    <w:rsid w:val="009A7E4E"/>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9A7E4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9A7E4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9A7E4E"/>
  </w:style>
  <w:style w:type="paragraph" w:customStyle="1" w:styleId="onecomwebmail-msolistparagraph">
    <w:name w:val="onecomwebmail-msolistparagraph"/>
    <w:basedOn w:val="Normal"/>
    <w:rsid w:val="009A7E4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rsid w:val="009A7E4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rsid w:val="009A7E4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rsid w:val="009A7E4E"/>
  </w:style>
  <w:style w:type="character" w:customStyle="1" w:styleId="onecomwebmail-size">
    <w:name w:val="onecomwebmail-size"/>
    <w:basedOn w:val="DefaultParagraphFont"/>
    <w:rsid w:val="009A7E4E"/>
  </w:style>
  <w:style w:type="numbering" w:customStyle="1" w:styleId="NoList1">
    <w:name w:val="No List1"/>
    <w:next w:val="NoList"/>
    <w:uiPriority w:val="99"/>
    <w:semiHidden/>
    <w:unhideWhenUsed/>
    <w:rsid w:val="00944CC5"/>
  </w:style>
  <w:style w:type="paragraph" w:styleId="Index4">
    <w:name w:val="index 4"/>
    <w:basedOn w:val="Normal"/>
    <w:next w:val="Normal"/>
    <w:autoRedefine/>
    <w:rsid w:val="00944CC5"/>
    <w:pPr>
      <w:overflowPunct/>
      <w:autoSpaceDE/>
      <w:autoSpaceDN/>
      <w:adjustRightInd/>
      <w:spacing w:after="0"/>
      <w:ind w:left="800" w:hanging="200"/>
      <w:textAlignment w:val="auto"/>
    </w:pPr>
    <w:rPr>
      <w:rFonts w:ascii="Calibri" w:hAnsi="Calibri" w:cs="Arial"/>
      <w:sz w:val="22"/>
      <w:szCs w:val="22"/>
      <w:lang w:val="sv-SE" w:eastAsia="en-GB"/>
    </w:rPr>
  </w:style>
  <w:style w:type="paragraph" w:customStyle="1" w:styleId="KeyProposal">
    <w:name w:val="Key Proposal"/>
    <w:basedOn w:val="Proposal"/>
    <w:link w:val="KeyProposalChar"/>
    <w:qFormat/>
    <w:rsid w:val="00944CC5"/>
    <w:pPr>
      <w:numPr>
        <w:numId w:val="54"/>
      </w:numPr>
      <w:overflowPunct/>
      <w:autoSpaceDE/>
      <w:autoSpaceDN/>
      <w:adjustRightInd/>
      <w:spacing w:after="0"/>
      <w:jc w:val="left"/>
      <w:textAlignment w:val="auto"/>
    </w:pPr>
    <w:rPr>
      <w:rFonts w:ascii="Calibri" w:hAnsi="Calibri" w:cs="Arial"/>
      <w:sz w:val="22"/>
      <w:szCs w:val="22"/>
      <w:lang w:val="sv-SE"/>
    </w:rPr>
  </w:style>
  <w:style w:type="character" w:customStyle="1" w:styleId="KeyProposalChar">
    <w:name w:val="Key Proposal Char"/>
    <w:basedOn w:val="BodyTextChar"/>
    <w:link w:val="KeyProposal"/>
    <w:rsid w:val="00944CC5"/>
    <w:rPr>
      <w:rFonts w:ascii="Calibri" w:hAnsi="Calibri" w:cs="Arial"/>
      <w:b/>
      <w:bCs/>
      <w:sz w:val="22"/>
      <w:szCs w:val="22"/>
      <w:lang w:val="sv-SE" w:eastAsia="zh-CN"/>
    </w:rPr>
  </w:style>
  <w:style w:type="table" w:customStyle="1" w:styleId="TableGrid1">
    <w:name w:val="Table Grid1"/>
    <w:basedOn w:val="TableNormal"/>
    <w:next w:val="TableGrid"/>
    <w:rsid w:val="00944CC5"/>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vDtabletext">
    <w:name w:val="IvD tabletext"/>
    <w:basedOn w:val="BodyText"/>
    <w:link w:val="IvDtabletextChar"/>
    <w:rsid w:val="00944CC5"/>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rFonts w:cs="Arial"/>
      <w:spacing w:val="2"/>
      <w:sz w:val="22"/>
      <w:szCs w:val="22"/>
      <w:lang w:val="en-US" w:eastAsia="en-US"/>
    </w:rPr>
  </w:style>
  <w:style w:type="character" w:customStyle="1" w:styleId="IvDtabletextChar">
    <w:name w:val="IvD tabletext Char"/>
    <w:basedOn w:val="DefaultParagraphFont"/>
    <w:link w:val="IvDtabletext"/>
    <w:rsid w:val="00944CC5"/>
    <w:rPr>
      <w:rFonts w:ascii="Arial" w:hAnsi="Arial" w:cs="Arial"/>
      <w:spacing w:val="2"/>
      <w:sz w:val="22"/>
      <w:szCs w:val="22"/>
      <w:lang w:val="en-US" w:eastAsia="en-US"/>
    </w:rPr>
  </w:style>
  <w:style w:type="character" w:styleId="UnresolvedMention">
    <w:name w:val="Unresolved Mention"/>
    <w:basedOn w:val="DefaultParagraphFont"/>
    <w:uiPriority w:val="99"/>
    <w:semiHidden/>
    <w:unhideWhenUsed/>
    <w:rsid w:val="00944CC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612585">
      <w:bodyDiv w:val="1"/>
      <w:marLeft w:val="0"/>
      <w:marRight w:val="0"/>
      <w:marTop w:val="0"/>
      <w:marBottom w:val="0"/>
      <w:divBdr>
        <w:top w:val="none" w:sz="0" w:space="0" w:color="auto"/>
        <w:left w:val="none" w:sz="0" w:space="0" w:color="auto"/>
        <w:bottom w:val="none" w:sz="0" w:space="0" w:color="auto"/>
        <w:right w:val="none" w:sz="0" w:space="0" w:color="auto"/>
      </w:divBdr>
    </w:div>
    <w:div w:id="124668443">
      <w:bodyDiv w:val="1"/>
      <w:marLeft w:val="0"/>
      <w:marRight w:val="0"/>
      <w:marTop w:val="0"/>
      <w:marBottom w:val="0"/>
      <w:divBdr>
        <w:top w:val="none" w:sz="0" w:space="0" w:color="auto"/>
        <w:left w:val="none" w:sz="0" w:space="0" w:color="auto"/>
        <w:bottom w:val="none" w:sz="0" w:space="0" w:color="auto"/>
        <w:right w:val="none" w:sz="0" w:space="0" w:color="auto"/>
      </w:divBdr>
    </w:div>
    <w:div w:id="156531323">
      <w:bodyDiv w:val="1"/>
      <w:marLeft w:val="0"/>
      <w:marRight w:val="0"/>
      <w:marTop w:val="0"/>
      <w:marBottom w:val="0"/>
      <w:divBdr>
        <w:top w:val="none" w:sz="0" w:space="0" w:color="auto"/>
        <w:left w:val="none" w:sz="0" w:space="0" w:color="auto"/>
        <w:bottom w:val="none" w:sz="0" w:space="0" w:color="auto"/>
        <w:right w:val="none" w:sz="0" w:space="0" w:color="auto"/>
      </w:divBdr>
    </w:div>
    <w:div w:id="511070489">
      <w:bodyDiv w:val="1"/>
      <w:marLeft w:val="0"/>
      <w:marRight w:val="0"/>
      <w:marTop w:val="0"/>
      <w:marBottom w:val="0"/>
      <w:divBdr>
        <w:top w:val="none" w:sz="0" w:space="0" w:color="auto"/>
        <w:left w:val="none" w:sz="0" w:space="0" w:color="auto"/>
        <w:bottom w:val="none" w:sz="0" w:space="0" w:color="auto"/>
        <w:right w:val="none" w:sz="0" w:space="0" w:color="auto"/>
      </w:divBdr>
    </w:div>
    <w:div w:id="556283280">
      <w:bodyDiv w:val="1"/>
      <w:marLeft w:val="0"/>
      <w:marRight w:val="0"/>
      <w:marTop w:val="0"/>
      <w:marBottom w:val="0"/>
      <w:divBdr>
        <w:top w:val="none" w:sz="0" w:space="0" w:color="auto"/>
        <w:left w:val="none" w:sz="0" w:space="0" w:color="auto"/>
        <w:bottom w:val="none" w:sz="0" w:space="0" w:color="auto"/>
        <w:right w:val="none" w:sz="0" w:space="0" w:color="auto"/>
      </w:divBdr>
    </w:div>
    <w:div w:id="624580384">
      <w:bodyDiv w:val="1"/>
      <w:marLeft w:val="0"/>
      <w:marRight w:val="0"/>
      <w:marTop w:val="0"/>
      <w:marBottom w:val="0"/>
      <w:divBdr>
        <w:top w:val="none" w:sz="0" w:space="0" w:color="auto"/>
        <w:left w:val="none" w:sz="0" w:space="0" w:color="auto"/>
        <w:bottom w:val="none" w:sz="0" w:space="0" w:color="auto"/>
        <w:right w:val="none" w:sz="0" w:space="0" w:color="auto"/>
      </w:divBdr>
      <w:divsChild>
        <w:div w:id="79375283">
          <w:marLeft w:val="274"/>
          <w:marRight w:val="0"/>
          <w:marTop w:val="0"/>
          <w:marBottom w:val="0"/>
          <w:divBdr>
            <w:top w:val="none" w:sz="0" w:space="0" w:color="auto"/>
            <w:left w:val="none" w:sz="0" w:space="0" w:color="auto"/>
            <w:bottom w:val="none" w:sz="0" w:space="0" w:color="auto"/>
            <w:right w:val="none" w:sz="0" w:space="0" w:color="auto"/>
          </w:divBdr>
        </w:div>
        <w:div w:id="537162658">
          <w:marLeft w:val="274"/>
          <w:marRight w:val="0"/>
          <w:marTop w:val="0"/>
          <w:marBottom w:val="0"/>
          <w:divBdr>
            <w:top w:val="none" w:sz="0" w:space="0" w:color="auto"/>
            <w:left w:val="none" w:sz="0" w:space="0" w:color="auto"/>
            <w:bottom w:val="none" w:sz="0" w:space="0" w:color="auto"/>
            <w:right w:val="none" w:sz="0" w:space="0" w:color="auto"/>
          </w:divBdr>
        </w:div>
        <w:div w:id="537738703">
          <w:marLeft w:val="274"/>
          <w:marRight w:val="0"/>
          <w:marTop w:val="0"/>
          <w:marBottom w:val="0"/>
          <w:divBdr>
            <w:top w:val="none" w:sz="0" w:space="0" w:color="auto"/>
            <w:left w:val="none" w:sz="0" w:space="0" w:color="auto"/>
            <w:bottom w:val="none" w:sz="0" w:space="0" w:color="auto"/>
            <w:right w:val="none" w:sz="0" w:space="0" w:color="auto"/>
          </w:divBdr>
        </w:div>
        <w:div w:id="966350896">
          <w:marLeft w:val="446"/>
          <w:marRight w:val="0"/>
          <w:marTop w:val="0"/>
          <w:marBottom w:val="0"/>
          <w:divBdr>
            <w:top w:val="none" w:sz="0" w:space="0" w:color="auto"/>
            <w:left w:val="none" w:sz="0" w:space="0" w:color="auto"/>
            <w:bottom w:val="none" w:sz="0" w:space="0" w:color="auto"/>
            <w:right w:val="none" w:sz="0" w:space="0" w:color="auto"/>
          </w:divBdr>
        </w:div>
        <w:div w:id="1057584396">
          <w:marLeft w:val="274"/>
          <w:marRight w:val="0"/>
          <w:marTop w:val="0"/>
          <w:marBottom w:val="0"/>
          <w:divBdr>
            <w:top w:val="none" w:sz="0" w:space="0" w:color="auto"/>
            <w:left w:val="none" w:sz="0" w:space="0" w:color="auto"/>
            <w:bottom w:val="none" w:sz="0" w:space="0" w:color="auto"/>
            <w:right w:val="none" w:sz="0" w:space="0" w:color="auto"/>
          </w:divBdr>
        </w:div>
        <w:div w:id="1215894246">
          <w:marLeft w:val="446"/>
          <w:marRight w:val="0"/>
          <w:marTop w:val="0"/>
          <w:marBottom w:val="0"/>
          <w:divBdr>
            <w:top w:val="none" w:sz="0" w:space="0" w:color="auto"/>
            <w:left w:val="none" w:sz="0" w:space="0" w:color="auto"/>
            <w:bottom w:val="none" w:sz="0" w:space="0" w:color="auto"/>
            <w:right w:val="none" w:sz="0" w:space="0" w:color="auto"/>
          </w:divBdr>
        </w:div>
        <w:div w:id="1422406890">
          <w:marLeft w:val="446"/>
          <w:marRight w:val="0"/>
          <w:marTop w:val="0"/>
          <w:marBottom w:val="0"/>
          <w:divBdr>
            <w:top w:val="none" w:sz="0" w:space="0" w:color="auto"/>
            <w:left w:val="none" w:sz="0" w:space="0" w:color="auto"/>
            <w:bottom w:val="none" w:sz="0" w:space="0" w:color="auto"/>
            <w:right w:val="none" w:sz="0" w:space="0" w:color="auto"/>
          </w:divBdr>
        </w:div>
        <w:div w:id="1477600765">
          <w:marLeft w:val="446"/>
          <w:marRight w:val="0"/>
          <w:marTop w:val="0"/>
          <w:marBottom w:val="0"/>
          <w:divBdr>
            <w:top w:val="none" w:sz="0" w:space="0" w:color="auto"/>
            <w:left w:val="none" w:sz="0" w:space="0" w:color="auto"/>
            <w:bottom w:val="none" w:sz="0" w:space="0" w:color="auto"/>
            <w:right w:val="none" w:sz="0" w:space="0" w:color="auto"/>
          </w:divBdr>
        </w:div>
        <w:div w:id="1728457248">
          <w:marLeft w:val="274"/>
          <w:marRight w:val="0"/>
          <w:marTop w:val="0"/>
          <w:marBottom w:val="0"/>
          <w:divBdr>
            <w:top w:val="none" w:sz="0" w:space="0" w:color="auto"/>
            <w:left w:val="none" w:sz="0" w:space="0" w:color="auto"/>
            <w:bottom w:val="none" w:sz="0" w:space="0" w:color="auto"/>
            <w:right w:val="none" w:sz="0" w:space="0" w:color="auto"/>
          </w:divBdr>
        </w:div>
        <w:div w:id="2048986853">
          <w:marLeft w:val="274"/>
          <w:marRight w:val="0"/>
          <w:marTop w:val="0"/>
          <w:marBottom w:val="0"/>
          <w:divBdr>
            <w:top w:val="none" w:sz="0" w:space="0" w:color="auto"/>
            <w:left w:val="none" w:sz="0" w:space="0" w:color="auto"/>
            <w:bottom w:val="none" w:sz="0" w:space="0" w:color="auto"/>
            <w:right w:val="none" w:sz="0" w:space="0" w:color="auto"/>
          </w:divBdr>
        </w:div>
      </w:divsChild>
    </w:div>
    <w:div w:id="735275768">
      <w:bodyDiv w:val="1"/>
      <w:marLeft w:val="0"/>
      <w:marRight w:val="0"/>
      <w:marTop w:val="0"/>
      <w:marBottom w:val="0"/>
      <w:divBdr>
        <w:top w:val="none" w:sz="0" w:space="0" w:color="auto"/>
        <w:left w:val="none" w:sz="0" w:space="0" w:color="auto"/>
        <w:bottom w:val="none" w:sz="0" w:space="0" w:color="auto"/>
        <w:right w:val="none" w:sz="0" w:space="0" w:color="auto"/>
      </w:divBdr>
    </w:div>
    <w:div w:id="808519336">
      <w:bodyDiv w:val="1"/>
      <w:marLeft w:val="0"/>
      <w:marRight w:val="0"/>
      <w:marTop w:val="0"/>
      <w:marBottom w:val="0"/>
      <w:divBdr>
        <w:top w:val="none" w:sz="0" w:space="0" w:color="auto"/>
        <w:left w:val="none" w:sz="0" w:space="0" w:color="auto"/>
        <w:bottom w:val="none" w:sz="0" w:space="0" w:color="auto"/>
        <w:right w:val="none" w:sz="0" w:space="0" w:color="auto"/>
      </w:divBdr>
    </w:div>
    <w:div w:id="896017214">
      <w:bodyDiv w:val="1"/>
      <w:marLeft w:val="0"/>
      <w:marRight w:val="0"/>
      <w:marTop w:val="0"/>
      <w:marBottom w:val="0"/>
      <w:divBdr>
        <w:top w:val="none" w:sz="0" w:space="0" w:color="auto"/>
        <w:left w:val="none" w:sz="0" w:space="0" w:color="auto"/>
        <w:bottom w:val="none" w:sz="0" w:space="0" w:color="auto"/>
        <w:right w:val="none" w:sz="0" w:space="0" w:color="auto"/>
      </w:divBdr>
      <w:divsChild>
        <w:div w:id="687830144">
          <w:marLeft w:val="1123"/>
          <w:marRight w:val="0"/>
          <w:marTop w:val="60"/>
          <w:marBottom w:val="0"/>
          <w:divBdr>
            <w:top w:val="none" w:sz="0" w:space="0" w:color="auto"/>
            <w:left w:val="none" w:sz="0" w:space="0" w:color="auto"/>
            <w:bottom w:val="none" w:sz="0" w:space="0" w:color="auto"/>
            <w:right w:val="none" w:sz="0" w:space="0" w:color="auto"/>
          </w:divBdr>
        </w:div>
        <w:div w:id="756440541">
          <w:marLeft w:val="1123"/>
          <w:marRight w:val="0"/>
          <w:marTop w:val="60"/>
          <w:marBottom w:val="0"/>
          <w:divBdr>
            <w:top w:val="none" w:sz="0" w:space="0" w:color="auto"/>
            <w:left w:val="none" w:sz="0" w:space="0" w:color="auto"/>
            <w:bottom w:val="none" w:sz="0" w:space="0" w:color="auto"/>
            <w:right w:val="none" w:sz="0" w:space="0" w:color="auto"/>
          </w:divBdr>
        </w:div>
        <w:div w:id="991101434">
          <w:marLeft w:val="1123"/>
          <w:marRight w:val="0"/>
          <w:marTop w:val="60"/>
          <w:marBottom w:val="0"/>
          <w:divBdr>
            <w:top w:val="none" w:sz="0" w:space="0" w:color="auto"/>
            <w:left w:val="none" w:sz="0" w:space="0" w:color="auto"/>
            <w:bottom w:val="none" w:sz="0" w:space="0" w:color="auto"/>
            <w:right w:val="none" w:sz="0" w:space="0" w:color="auto"/>
          </w:divBdr>
        </w:div>
        <w:div w:id="1000276564">
          <w:marLeft w:val="547"/>
          <w:marRight w:val="0"/>
          <w:marTop w:val="60"/>
          <w:marBottom w:val="0"/>
          <w:divBdr>
            <w:top w:val="none" w:sz="0" w:space="0" w:color="auto"/>
            <w:left w:val="none" w:sz="0" w:space="0" w:color="auto"/>
            <w:bottom w:val="none" w:sz="0" w:space="0" w:color="auto"/>
            <w:right w:val="none" w:sz="0" w:space="0" w:color="auto"/>
          </w:divBdr>
        </w:div>
        <w:div w:id="1138375337">
          <w:marLeft w:val="1123"/>
          <w:marRight w:val="0"/>
          <w:marTop w:val="60"/>
          <w:marBottom w:val="0"/>
          <w:divBdr>
            <w:top w:val="none" w:sz="0" w:space="0" w:color="auto"/>
            <w:left w:val="none" w:sz="0" w:space="0" w:color="auto"/>
            <w:bottom w:val="none" w:sz="0" w:space="0" w:color="auto"/>
            <w:right w:val="none" w:sz="0" w:space="0" w:color="auto"/>
          </w:divBdr>
        </w:div>
        <w:div w:id="1415325269">
          <w:marLeft w:val="1123"/>
          <w:marRight w:val="0"/>
          <w:marTop w:val="60"/>
          <w:marBottom w:val="0"/>
          <w:divBdr>
            <w:top w:val="none" w:sz="0" w:space="0" w:color="auto"/>
            <w:left w:val="none" w:sz="0" w:space="0" w:color="auto"/>
            <w:bottom w:val="none" w:sz="0" w:space="0" w:color="auto"/>
            <w:right w:val="none" w:sz="0" w:space="0" w:color="auto"/>
          </w:divBdr>
        </w:div>
        <w:div w:id="1492142827">
          <w:marLeft w:val="1123"/>
          <w:marRight w:val="0"/>
          <w:marTop w:val="60"/>
          <w:marBottom w:val="0"/>
          <w:divBdr>
            <w:top w:val="none" w:sz="0" w:space="0" w:color="auto"/>
            <w:left w:val="none" w:sz="0" w:space="0" w:color="auto"/>
            <w:bottom w:val="none" w:sz="0" w:space="0" w:color="auto"/>
            <w:right w:val="none" w:sz="0" w:space="0" w:color="auto"/>
          </w:divBdr>
        </w:div>
        <w:div w:id="1513641574">
          <w:marLeft w:val="1123"/>
          <w:marRight w:val="0"/>
          <w:marTop w:val="60"/>
          <w:marBottom w:val="0"/>
          <w:divBdr>
            <w:top w:val="none" w:sz="0" w:space="0" w:color="auto"/>
            <w:left w:val="none" w:sz="0" w:space="0" w:color="auto"/>
            <w:bottom w:val="none" w:sz="0" w:space="0" w:color="auto"/>
            <w:right w:val="none" w:sz="0" w:space="0" w:color="auto"/>
          </w:divBdr>
        </w:div>
        <w:div w:id="2041929825">
          <w:marLeft w:val="1123"/>
          <w:marRight w:val="0"/>
          <w:marTop w:val="60"/>
          <w:marBottom w:val="0"/>
          <w:divBdr>
            <w:top w:val="none" w:sz="0" w:space="0" w:color="auto"/>
            <w:left w:val="none" w:sz="0" w:space="0" w:color="auto"/>
            <w:bottom w:val="none" w:sz="0" w:space="0" w:color="auto"/>
            <w:right w:val="none" w:sz="0" w:space="0" w:color="auto"/>
          </w:divBdr>
        </w:div>
      </w:divsChild>
    </w:div>
    <w:div w:id="934825035">
      <w:bodyDiv w:val="1"/>
      <w:marLeft w:val="0"/>
      <w:marRight w:val="0"/>
      <w:marTop w:val="0"/>
      <w:marBottom w:val="0"/>
      <w:divBdr>
        <w:top w:val="none" w:sz="0" w:space="0" w:color="auto"/>
        <w:left w:val="none" w:sz="0" w:space="0" w:color="auto"/>
        <w:bottom w:val="none" w:sz="0" w:space="0" w:color="auto"/>
        <w:right w:val="none" w:sz="0" w:space="0" w:color="auto"/>
      </w:divBdr>
    </w:div>
    <w:div w:id="1089036880">
      <w:bodyDiv w:val="1"/>
      <w:marLeft w:val="0"/>
      <w:marRight w:val="0"/>
      <w:marTop w:val="0"/>
      <w:marBottom w:val="0"/>
      <w:divBdr>
        <w:top w:val="none" w:sz="0" w:space="0" w:color="auto"/>
        <w:left w:val="none" w:sz="0" w:space="0" w:color="auto"/>
        <w:bottom w:val="none" w:sz="0" w:space="0" w:color="auto"/>
        <w:right w:val="none" w:sz="0" w:space="0" w:color="auto"/>
      </w:divBdr>
    </w:div>
    <w:div w:id="1182206837">
      <w:bodyDiv w:val="1"/>
      <w:marLeft w:val="0"/>
      <w:marRight w:val="0"/>
      <w:marTop w:val="0"/>
      <w:marBottom w:val="0"/>
      <w:divBdr>
        <w:top w:val="none" w:sz="0" w:space="0" w:color="auto"/>
        <w:left w:val="none" w:sz="0" w:space="0" w:color="auto"/>
        <w:bottom w:val="none" w:sz="0" w:space="0" w:color="auto"/>
        <w:right w:val="none" w:sz="0" w:space="0" w:color="auto"/>
      </w:divBdr>
      <w:divsChild>
        <w:div w:id="90587489">
          <w:marLeft w:val="547"/>
          <w:marRight w:val="0"/>
          <w:marTop w:val="60"/>
          <w:marBottom w:val="0"/>
          <w:divBdr>
            <w:top w:val="none" w:sz="0" w:space="0" w:color="auto"/>
            <w:left w:val="none" w:sz="0" w:space="0" w:color="auto"/>
            <w:bottom w:val="none" w:sz="0" w:space="0" w:color="auto"/>
            <w:right w:val="none" w:sz="0" w:space="0" w:color="auto"/>
          </w:divBdr>
        </w:div>
        <w:div w:id="370375983">
          <w:marLeft w:val="547"/>
          <w:marRight w:val="0"/>
          <w:marTop w:val="60"/>
          <w:marBottom w:val="0"/>
          <w:divBdr>
            <w:top w:val="none" w:sz="0" w:space="0" w:color="auto"/>
            <w:left w:val="none" w:sz="0" w:space="0" w:color="auto"/>
            <w:bottom w:val="none" w:sz="0" w:space="0" w:color="auto"/>
            <w:right w:val="none" w:sz="0" w:space="0" w:color="auto"/>
          </w:divBdr>
        </w:div>
        <w:div w:id="424347977">
          <w:marLeft w:val="1123"/>
          <w:marRight w:val="0"/>
          <w:marTop w:val="60"/>
          <w:marBottom w:val="0"/>
          <w:divBdr>
            <w:top w:val="none" w:sz="0" w:space="0" w:color="auto"/>
            <w:left w:val="none" w:sz="0" w:space="0" w:color="auto"/>
            <w:bottom w:val="none" w:sz="0" w:space="0" w:color="auto"/>
            <w:right w:val="none" w:sz="0" w:space="0" w:color="auto"/>
          </w:divBdr>
        </w:div>
        <w:div w:id="512843075">
          <w:marLeft w:val="1123"/>
          <w:marRight w:val="0"/>
          <w:marTop w:val="60"/>
          <w:marBottom w:val="0"/>
          <w:divBdr>
            <w:top w:val="none" w:sz="0" w:space="0" w:color="auto"/>
            <w:left w:val="none" w:sz="0" w:space="0" w:color="auto"/>
            <w:bottom w:val="none" w:sz="0" w:space="0" w:color="auto"/>
            <w:right w:val="none" w:sz="0" w:space="0" w:color="auto"/>
          </w:divBdr>
        </w:div>
        <w:div w:id="634482387">
          <w:marLeft w:val="1123"/>
          <w:marRight w:val="0"/>
          <w:marTop w:val="60"/>
          <w:marBottom w:val="0"/>
          <w:divBdr>
            <w:top w:val="none" w:sz="0" w:space="0" w:color="auto"/>
            <w:left w:val="none" w:sz="0" w:space="0" w:color="auto"/>
            <w:bottom w:val="none" w:sz="0" w:space="0" w:color="auto"/>
            <w:right w:val="none" w:sz="0" w:space="0" w:color="auto"/>
          </w:divBdr>
        </w:div>
        <w:div w:id="694699989">
          <w:marLeft w:val="547"/>
          <w:marRight w:val="0"/>
          <w:marTop w:val="60"/>
          <w:marBottom w:val="0"/>
          <w:divBdr>
            <w:top w:val="none" w:sz="0" w:space="0" w:color="auto"/>
            <w:left w:val="none" w:sz="0" w:space="0" w:color="auto"/>
            <w:bottom w:val="none" w:sz="0" w:space="0" w:color="auto"/>
            <w:right w:val="none" w:sz="0" w:space="0" w:color="auto"/>
          </w:divBdr>
        </w:div>
        <w:div w:id="727264995">
          <w:marLeft w:val="547"/>
          <w:marRight w:val="0"/>
          <w:marTop w:val="60"/>
          <w:marBottom w:val="0"/>
          <w:divBdr>
            <w:top w:val="none" w:sz="0" w:space="0" w:color="auto"/>
            <w:left w:val="none" w:sz="0" w:space="0" w:color="auto"/>
            <w:bottom w:val="none" w:sz="0" w:space="0" w:color="auto"/>
            <w:right w:val="none" w:sz="0" w:space="0" w:color="auto"/>
          </w:divBdr>
        </w:div>
        <w:div w:id="820468289">
          <w:marLeft w:val="1123"/>
          <w:marRight w:val="0"/>
          <w:marTop w:val="60"/>
          <w:marBottom w:val="0"/>
          <w:divBdr>
            <w:top w:val="none" w:sz="0" w:space="0" w:color="auto"/>
            <w:left w:val="none" w:sz="0" w:space="0" w:color="auto"/>
            <w:bottom w:val="none" w:sz="0" w:space="0" w:color="auto"/>
            <w:right w:val="none" w:sz="0" w:space="0" w:color="auto"/>
          </w:divBdr>
        </w:div>
        <w:div w:id="875191313">
          <w:marLeft w:val="547"/>
          <w:marRight w:val="0"/>
          <w:marTop w:val="60"/>
          <w:marBottom w:val="0"/>
          <w:divBdr>
            <w:top w:val="none" w:sz="0" w:space="0" w:color="auto"/>
            <w:left w:val="none" w:sz="0" w:space="0" w:color="auto"/>
            <w:bottom w:val="none" w:sz="0" w:space="0" w:color="auto"/>
            <w:right w:val="none" w:sz="0" w:space="0" w:color="auto"/>
          </w:divBdr>
        </w:div>
        <w:div w:id="1112551344">
          <w:marLeft w:val="1123"/>
          <w:marRight w:val="0"/>
          <w:marTop w:val="60"/>
          <w:marBottom w:val="0"/>
          <w:divBdr>
            <w:top w:val="none" w:sz="0" w:space="0" w:color="auto"/>
            <w:left w:val="none" w:sz="0" w:space="0" w:color="auto"/>
            <w:bottom w:val="none" w:sz="0" w:space="0" w:color="auto"/>
            <w:right w:val="none" w:sz="0" w:space="0" w:color="auto"/>
          </w:divBdr>
        </w:div>
        <w:div w:id="1167943710">
          <w:marLeft w:val="1123"/>
          <w:marRight w:val="0"/>
          <w:marTop w:val="60"/>
          <w:marBottom w:val="0"/>
          <w:divBdr>
            <w:top w:val="none" w:sz="0" w:space="0" w:color="auto"/>
            <w:left w:val="none" w:sz="0" w:space="0" w:color="auto"/>
            <w:bottom w:val="none" w:sz="0" w:space="0" w:color="auto"/>
            <w:right w:val="none" w:sz="0" w:space="0" w:color="auto"/>
          </w:divBdr>
        </w:div>
        <w:div w:id="1245380767">
          <w:marLeft w:val="1123"/>
          <w:marRight w:val="0"/>
          <w:marTop w:val="60"/>
          <w:marBottom w:val="0"/>
          <w:divBdr>
            <w:top w:val="none" w:sz="0" w:space="0" w:color="auto"/>
            <w:left w:val="none" w:sz="0" w:space="0" w:color="auto"/>
            <w:bottom w:val="none" w:sz="0" w:space="0" w:color="auto"/>
            <w:right w:val="none" w:sz="0" w:space="0" w:color="auto"/>
          </w:divBdr>
        </w:div>
        <w:div w:id="1534152150">
          <w:marLeft w:val="1123"/>
          <w:marRight w:val="0"/>
          <w:marTop w:val="60"/>
          <w:marBottom w:val="0"/>
          <w:divBdr>
            <w:top w:val="none" w:sz="0" w:space="0" w:color="auto"/>
            <w:left w:val="none" w:sz="0" w:space="0" w:color="auto"/>
            <w:bottom w:val="none" w:sz="0" w:space="0" w:color="auto"/>
            <w:right w:val="none" w:sz="0" w:space="0" w:color="auto"/>
          </w:divBdr>
        </w:div>
        <w:div w:id="1801261832">
          <w:marLeft w:val="547"/>
          <w:marRight w:val="0"/>
          <w:marTop w:val="60"/>
          <w:marBottom w:val="0"/>
          <w:divBdr>
            <w:top w:val="none" w:sz="0" w:space="0" w:color="auto"/>
            <w:left w:val="none" w:sz="0" w:space="0" w:color="auto"/>
            <w:bottom w:val="none" w:sz="0" w:space="0" w:color="auto"/>
            <w:right w:val="none" w:sz="0" w:space="0" w:color="auto"/>
          </w:divBdr>
        </w:div>
        <w:div w:id="1804540586">
          <w:marLeft w:val="1699"/>
          <w:marRight w:val="0"/>
          <w:marTop w:val="60"/>
          <w:marBottom w:val="0"/>
          <w:divBdr>
            <w:top w:val="none" w:sz="0" w:space="0" w:color="auto"/>
            <w:left w:val="none" w:sz="0" w:space="0" w:color="auto"/>
            <w:bottom w:val="none" w:sz="0" w:space="0" w:color="auto"/>
            <w:right w:val="none" w:sz="0" w:space="0" w:color="auto"/>
          </w:divBdr>
        </w:div>
        <w:div w:id="2096323112">
          <w:marLeft w:val="1123"/>
          <w:marRight w:val="0"/>
          <w:marTop w:val="60"/>
          <w:marBottom w:val="0"/>
          <w:divBdr>
            <w:top w:val="none" w:sz="0" w:space="0" w:color="auto"/>
            <w:left w:val="none" w:sz="0" w:space="0" w:color="auto"/>
            <w:bottom w:val="none" w:sz="0" w:space="0" w:color="auto"/>
            <w:right w:val="none" w:sz="0" w:space="0" w:color="auto"/>
          </w:divBdr>
        </w:div>
      </w:divsChild>
    </w:div>
    <w:div w:id="1454790637">
      <w:bodyDiv w:val="1"/>
      <w:marLeft w:val="0"/>
      <w:marRight w:val="0"/>
      <w:marTop w:val="0"/>
      <w:marBottom w:val="0"/>
      <w:divBdr>
        <w:top w:val="none" w:sz="0" w:space="0" w:color="auto"/>
        <w:left w:val="none" w:sz="0" w:space="0" w:color="auto"/>
        <w:bottom w:val="none" w:sz="0" w:space="0" w:color="auto"/>
        <w:right w:val="none" w:sz="0" w:space="0" w:color="auto"/>
      </w:divBdr>
    </w:div>
    <w:div w:id="1580359335">
      <w:bodyDiv w:val="1"/>
      <w:marLeft w:val="0"/>
      <w:marRight w:val="0"/>
      <w:marTop w:val="0"/>
      <w:marBottom w:val="0"/>
      <w:divBdr>
        <w:top w:val="none" w:sz="0" w:space="0" w:color="auto"/>
        <w:left w:val="none" w:sz="0" w:space="0" w:color="auto"/>
        <w:bottom w:val="none" w:sz="0" w:space="0" w:color="auto"/>
        <w:right w:val="none" w:sz="0" w:space="0" w:color="auto"/>
      </w:divBdr>
    </w:div>
    <w:div w:id="1615475697">
      <w:bodyDiv w:val="1"/>
      <w:marLeft w:val="0"/>
      <w:marRight w:val="0"/>
      <w:marTop w:val="0"/>
      <w:marBottom w:val="0"/>
      <w:divBdr>
        <w:top w:val="none" w:sz="0" w:space="0" w:color="auto"/>
        <w:left w:val="none" w:sz="0" w:space="0" w:color="auto"/>
        <w:bottom w:val="none" w:sz="0" w:space="0" w:color="auto"/>
        <w:right w:val="none" w:sz="0" w:space="0" w:color="auto"/>
      </w:divBdr>
    </w:div>
    <w:div w:id="1842623855">
      <w:bodyDiv w:val="1"/>
      <w:marLeft w:val="0"/>
      <w:marRight w:val="0"/>
      <w:marTop w:val="0"/>
      <w:marBottom w:val="0"/>
      <w:divBdr>
        <w:top w:val="none" w:sz="0" w:space="0" w:color="auto"/>
        <w:left w:val="none" w:sz="0" w:space="0" w:color="auto"/>
        <w:bottom w:val="none" w:sz="0" w:space="0" w:color="auto"/>
        <w:right w:val="none" w:sz="0" w:space="0" w:color="auto"/>
      </w:divBdr>
    </w:div>
    <w:div w:id="1852337444">
      <w:bodyDiv w:val="1"/>
      <w:marLeft w:val="0"/>
      <w:marRight w:val="0"/>
      <w:marTop w:val="0"/>
      <w:marBottom w:val="0"/>
      <w:divBdr>
        <w:top w:val="none" w:sz="0" w:space="0" w:color="auto"/>
        <w:left w:val="none" w:sz="0" w:space="0" w:color="auto"/>
        <w:bottom w:val="none" w:sz="0" w:space="0" w:color="auto"/>
        <w:right w:val="none" w:sz="0" w:space="0" w:color="auto"/>
      </w:divBdr>
    </w:div>
    <w:div w:id="1890922669">
      <w:bodyDiv w:val="1"/>
      <w:marLeft w:val="0"/>
      <w:marRight w:val="0"/>
      <w:marTop w:val="0"/>
      <w:marBottom w:val="0"/>
      <w:divBdr>
        <w:top w:val="none" w:sz="0" w:space="0" w:color="auto"/>
        <w:left w:val="none" w:sz="0" w:space="0" w:color="auto"/>
        <w:bottom w:val="none" w:sz="0" w:space="0" w:color="auto"/>
        <w:right w:val="none" w:sz="0" w:space="0" w:color="auto"/>
      </w:divBdr>
      <w:divsChild>
        <w:div w:id="16542795">
          <w:marLeft w:val="446"/>
          <w:marRight w:val="0"/>
          <w:marTop w:val="0"/>
          <w:marBottom w:val="0"/>
          <w:divBdr>
            <w:top w:val="none" w:sz="0" w:space="0" w:color="auto"/>
            <w:left w:val="none" w:sz="0" w:space="0" w:color="auto"/>
            <w:bottom w:val="none" w:sz="0" w:space="0" w:color="auto"/>
            <w:right w:val="none" w:sz="0" w:space="0" w:color="auto"/>
          </w:divBdr>
        </w:div>
        <w:div w:id="52513002">
          <w:marLeft w:val="446"/>
          <w:marRight w:val="0"/>
          <w:marTop w:val="0"/>
          <w:marBottom w:val="0"/>
          <w:divBdr>
            <w:top w:val="none" w:sz="0" w:space="0" w:color="auto"/>
            <w:left w:val="none" w:sz="0" w:space="0" w:color="auto"/>
            <w:bottom w:val="none" w:sz="0" w:space="0" w:color="auto"/>
            <w:right w:val="none" w:sz="0" w:space="0" w:color="auto"/>
          </w:divBdr>
        </w:div>
        <w:div w:id="971515578">
          <w:marLeft w:val="446"/>
          <w:marRight w:val="0"/>
          <w:marTop w:val="0"/>
          <w:marBottom w:val="0"/>
          <w:divBdr>
            <w:top w:val="none" w:sz="0" w:space="0" w:color="auto"/>
            <w:left w:val="none" w:sz="0" w:space="0" w:color="auto"/>
            <w:bottom w:val="none" w:sz="0" w:space="0" w:color="auto"/>
            <w:right w:val="none" w:sz="0" w:space="0" w:color="auto"/>
          </w:divBdr>
        </w:div>
        <w:div w:id="1272857655">
          <w:marLeft w:val="274"/>
          <w:marRight w:val="0"/>
          <w:marTop w:val="0"/>
          <w:marBottom w:val="0"/>
          <w:divBdr>
            <w:top w:val="none" w:sz="0" w:space="0" w:color="auto"/>
            <w:left w:val="none" w:sz="0" w:space="0" w:color="auto"/>
            <w:bottom w:val="none" w:sz="0" w:space="0" w:color="auto"/>
            <w:right w:val="none" w:sz="0" w:space="0" w:color="auto"/>
          </w:divBdr>
        </w:div>
        <w:div w:id="1324117730">
          <w:marLeft w:val="274"/>
          <w:marRight w:val="0"/>
          <w:marTop w:val="0"/>
          <w:marBottom w:val="0"/>
          <w:divBdr>
            <w:top w:val="none" w:sz="0" w:space="0" w:color="auto"/>
            <w:left w:val="none" w:sz="0" w:space="0" w:color="auto"/>
            <w:bottom w:val="none" w:sz="0" w:space="0" w:color="auto"/>
            <w:right w:val="none" w:sz="0" w:space="0" w:color="auto"/>
          </w:divBdr>
        </w:div>
        <w:div w:id="1381323139">
          <w:marLeft w:val="274"/>
          <w:marRight w:val="0"/>
          <w:marTop w:val="0"/>
          <w:marBottom w:val="0"/>
          <w:divBdr>
            <w:top w:val="none" w:sz="0" w:space="0" w:color="auto"/>
            <w:left w:val="none" w:sz="0" w:space="0" w:color="auto"/>
            <w:bottom w:val="none" w:sz="0" w:space="0" w:color="auto"/>
            <w:right w:val="none" w:sz="0" w:space="0" w:color="auto"/>
          </w:divBdr>
        </w:div>
        <w:div w:id="1599095091">
          <w:marLeft w:val="274"/>
          <w:marRight w:val="0"/>
          <w:marTop w:val="0"/>
          <w:marBottom w:val="0"/>
          <w:divBdr>
            <w:top w:val="none" w:sz="0" w:space="0" w:color="auto"/>
            <w:left w:val="none" w:sz="0" w:space="0" w:color="auto"/>
            <w:bottom w:val="none" w:sz="0" w:space="0" w:color="auto"/>
            <w:right w:val="none" w:sz="0" w:space="0" w:color="auto"/>
          </w:divBdr>
        </w:div>
        <w:div w:id="1646004436">
          <w:marLeft w:val="274"/>
          <w:marRight w:val="0"/>
          <w:marTop w:val="0"/>
          <w:marBottom w:val="0"/>
          <w:divBdr>
            <w:top w:val="none" w:sz="0" w:space="0" w:color="auto"/>
            <w:left w:val="none" w:sz="0" w:space="0" w:color="auto"/>
            <w:bottom w:val="none" w:sz="0" w:space="0" w:color="auto"/>
            <w:right w:val="none" w:sz="0" w:space="0" w:color="auto"/>
          </w:divBdr>
        </w:div>
        <w:div w:id="1931619884">
          <w:marLeft w:val="274"/>
          <w:marRight w:val="0"/>
          <w:marTop w:val="0"/>
          <w:marBottom w:val="0"/>
          <w:divBdr>
            <w:top w:val="none" w:sz="0" w:space="0" w:color="auto"/>
            <w:left w:val="none" w:sz="0" w:space="0" w:color="auto"/>
            <w:bottom w:val="none" w:sz="0" w:space="0" w:color="auto"/>
            <w:right w:val="none" w:sz="0" w:space="0" w:color="auto"/>
          </w:divBdr>
        </w:div>
        <w:div w:id="2049915972">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w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w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2E8573-A64D-4724-BBF2-D3F392F5BADB}">
  <ds:schemaRefs>
    <ds:schemaRef ds:uri="http://schemas.openxmlformats.org/officeDocument/2006/bibliography"/>
  </ds:schemaRefs>
</ds:datastoreItem>
</file>

<file path=customXml/itemProps2.xml><?xml version="1.0" encoding="utf-8"?>
<ds:datastoreItem xmlns:ds="http://schemas.openxmlformats.org/officeDocument/2006/customXml" ds:itemID="{C76469AF-40B5-45E3-B443-8CCC7509CF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B082FB6-8DBC-4F8E-8271-A7F0EC56128B}">
  <ds:schemaRefs>
    <ds:schemaRef ds:uri="9b239327-9e80-40e4-b1b7-4394fed77a33"/>
    <ds:schemaRef ds:uri="http://purl.org/dc/terms/"/>
    <ds:schemaRef ds:uri="http://schemas.openxmlformats.org/package/2006/metadata/core-properties"/>
    <ds:schemaRef ds:uri="http://purl.org/dc/dcmitype/"/>
    <ds:schemaRef ds:uri="http://schemas.microsoft.com/office/2006/documentManagement/types"/>
    <ds:schemaRef ds:uri="http://purl.org/dc/elements/1.1/"/>
    <ds:schemaRef ds:uri="http://schemas.microsoft.com/office/2006/metadata/properties"/>
    <ds:schemaRef ds:uri="http://schemas.microsoft.com/office/infopath/2007/PartnerControls"/>
    <ds:schemaRef ds:uri="2f282d3b-eb4a-4b09-b61f-b9593442e286"/>
    <ds:schemaRef ds:uri="http://www.w3.org/XML/1998/namespace"/>
  </ds:schemaRefs>
</ds:datastoreItem>
</file>

<file path=customXml/itemProps4.xml><?xml version="1.0" encoding="utf-8"?>
<ds:datastoreItem xmlns:ds="http://schemas.openxmlformats.org/officeDocument/2006/customXml" ds:itemID="{C8E601F1-A3EA-4D06-B4C0-BB65ADB1F87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7757</Words>
  <Characters>44221</Characters>
  <Application>Microsoft Office Word</Application>
  <DocSecurity>4</DocSecurity>
  <Lines>368</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2019-08-17T14:33:00Z</dcterms:created>
  <dcterms:modified xsi:type="dcterms:W3CDTF">2019-08-17T14:51:00Z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AuthorIds_UIVersion_512">
    <vt:lpwstr>181</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0x010100F3E9551B3FDDA24EBF0A209BAAD637CA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_dlc_DocIdItemGuid">
    <vt:lpwstr>ff32963b-c0bf-43a6-bdf9-769edfbfe7f5</vt:lpwstr>
  </property>
  <property fmtid="{D5CDD505-2E9C-101B-9397-08002B2CF9AE}" pid="14" name="AuthorIds_UIVersion_14848">
    <vt:lpwstr>358</vt:lpwstr>
  </property>
  <property fmtid="{D5CDD505-2E9C-101B-9397-08002B2CF9AE}" pid="15" name="EriCOLLProjects">
    <vt:lpwstr/>
  </property>
</Properties>
</file>